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07EF8" w14:textId="2C615C93" w:rsidR="00F3391D" w:rsidRDefault="00E304CF" w:rsidP="00474658">
      <w:pPr>
        <w:pStyle w:val="Default"/>
        <w:ind w:right="191"/>
        <w:rPr>
          <w:rFonts w:asciiTheme="majorHAnsi" w:hAnsiTheme="majorHAnsi" w:cstheme="majorHAnsi"/>
          <w:b/>
          <w:bCs/>
          <w:color w:val="auto"/>
          <w:szCs w:val="20"/>
        </w:rPr>
      </w:pPr>
      <w:r>
        <w:rPr>
          <w:rFonts w:asciiTheme="majorHAnsi" w:hAnsiTheme="majorHAnsi" w:cstheme="majorHAnsi"/>
          <w:b/>
          <w:bCs/>
          <w:color w:val="auto"/>
          <w:szCs w:val="20"/>
        </w:rPr>
        <w:t>En relación con los primeros tres meses de 2024</w:t>
      </w:r>
      <w:r w:rsidR="00B3275D">
        <w:rPr>
          <w:rFonts w:asciiTheme="majorHAnsi" w:hAnsiTheme="majorHAnsi" w:cstheme="majorHAnsi"/>
          <w:b/>
          <w:bCs/>
          <w:color w:val="auto"/>
          <w:szCs w:val="20"/>
        </w:rPr>
        <w:t>:</w:t>
      </w:r>
    </w:p>
    <w:p w14:paraId="0F43B203" w14:textId="4A3D915D" w:rsidR="007F2B41" w:rsidRPr="00474658" w:rsidRDefault="00F3391D" w:rsidP="009654AB">
      <w:pPr>
        <w:pStyle w:val="Default"/>
        <w:spacing w:before="240"/>
        <w:ind w:right="193"/>
        <w:jc w:val="center"/>
        <w:rPr>
          <w:rFonts w:asciiTheme="majorHAnsi" w:hAnsiTheme="majorHAnsi" w:cstheme="majorHAnsi"/>
          <w:b/>
          <w:bCs/>
          <w:color w:val="auto"/>
          <w:sz w:val="36"/>
          <w:szCs w:val="28"/>
        </w:rPr>
      </w:pPr>
      <w:r w:rsidRPr="00474658">
        <w:rPr>
          <w:rFonts w:asciiTheme="majorHAnsi" w:hAnsiTheme="majorHAnsi" w:cstheme="majorHAnsi"/>
          <w:b/>
          <w:bCs/>
          <w:color w:val="auto"/>
          <w:sz w:val="36"/>
          <w:szCs w:val="28"/>
        </w:rPr>
        <w:t xml:space="preserve">Antofagasta Minerals </w:t>
      </w:r>
      <w:r w:rsidR="007F2B41" w:rsidRPr="00474658">
        <w:rPr>
          <w:rFonts w:asciiTheme="majorHAnsi" w:hAnsiTheme="majorHAnsi" w:cstheme="majorHAnsi"/>
          <w:b/>
          <w:bCs/>
          <w:color w:val="auto"/>
          <w:sz w:val="36"/>
          <w:szCs w:val="28"/>
        </w:rPr>
        <w:t xml:space="preserve">aumentó en 20% </w:t>
      </w:r>
    </w:p>
    <w:p w14:paraId="255802C2" w14:textId="2423DF8C" w:rsidR="00DD592B" w:rsidRPr="00474658" w:rsidRDefault="007F2B41" w:rsidP="00474658">
      <w:pPr>
        <w:pStyle w:val="Default"/>
        <w:ind w:right="191"/>
        <w:jc w:val="center"/>
        <w:rPr>
          <w:rFonts w:asciiTheme="majorHAnsi" w:hAnsiTheme="majorHAnsi" w:cstheme="majorHAnsi"/>
          <w:b/>
          <w:bCs/>
          <w:color w:val="auto"/>
          <w:sz w:val="36"/>
          <w:szCs w:val="28"/>
        </w:rPr>
      </w:pPr>
      <w:r w:rsidRPr="00474658">
        <w:rPr>
          <w:rFonts w:asciiTheme="majorHAnsi" w:hAnsiTheme="majorHAnsi" w:cstheme="majorHAnsi"/>
          <w:b/>
          <w:bCs/>
          <w:color w:val="auto"/>
          <w:sz w:val="36"/>
          <w:szCs w:val="28"/>
        </w:rPr>
        <w:t xml:space="preserve">su </w:t>
      </w:r>
      <w:r w:rsidR="001C08D4" w:rsidRPr="00474658">
        <w:rPr>
          <w:rFonts w:asciiTheme="majorHAnsi" w:hAnsiTheme="majorHAnsi" w:cstheme="majorHAnsi"/>
          <w:b/>
          <w:bCs/>
          <w:color w:val="auto"/>
          <w:sz w:val="36"/>
          <w:szCs w:val="28"/>
        </w:rPr>
        <w:t>producci</w:t>
      </w:r>
      <w:r w:rsidR="00643E5C" w:rsidRPr="00474658">
        <w:rPr>
          <w:rFonts w:asciiTheme="majorHAnsi" w:hAnsiTheme="majorHAnsi" w:cstheme="majorHAnsi"/>
          <w:b/>
          <w:bCs/>
          <w:color w:val="auto"/>
          <w:sz w:val="36"/>
          <w:szCs w:val="28"/>
        </w:rPr>
        <w:t>ó</w:t>
      </w:r>
      <w:r w:rsidR="001C08D4" w:rsidRPr="00474658">
        <w:rPr>
          <w:rFonts w:asciiTheme="majorHAnsi" w:hAnsiTheme="majorHAnsi" w:cstheme="majorHAnsi"/>
          <w:b/>
          <w:bCs/>
          <w:color w:val="auto"/>
          <w:sz w:val="36"/>
          <w:szCs w:val="28"/>
        </w:rPr>
        <w:t>n</w:t>
      </w:r>
      <w:r w:rsidR="00F3391D" w:rsidRPr="00474658">
        <w:rPr>
          <w:rFonts w:asciiTheme="majorHAnsi" w:hAnsiTheme="majorHAnsi" w:cstheme="majorHAnsi"/>
          <w:b/>
          <w:bCs/>
          <w:color w:val="auto"/>
          <w:sz w:val="36"/>
          <w:szCs w:val="28"/>
        </w:rPr>
        <w:t xml:space="preserve"> </w:t>
      </w:r>
      <w:r w:rsidRPr="00474658">
        <w:rPr>
          <w:rFonts w:asciiTheme="majorHAnsi" w:hAnsiTheme="majorHAnsi" w:cstheme="majorHAnsi"/>
          <w:b/>
          <w:bCs/>
          <w:color w:val="auto"/>
          <w:sz w:val="36"/>
          <w:szCs w:val="28"/>
        </w:rPr>
        <w:t>durante el segundo trimestre del año</w:t>
      </w:r>
      <w:r w:rsidR="00381DC7" w:rsidRPr="00474658">
        <w:rPr>
          <w:rFonts w:asciiTheme="majorHAnsi" w:hAnsiTheme="majorHAnsi" w:cstheme="majorHAnsi"/>
          <w:b/>
          <w:bCs/>
          <w:color w:val="auto"/>
          <w:sz w:val="36"/>
          <w:szCs w:val="28"/>
        </w:rPr>
        <w:t xml:space="preserve"> </w:t>
      </w:r>
    </w:p>
    <w:p w14:paraId="1CF14D5A" w14:textId="76EE8238" w:rsidR="00080251" w:rsidRPr="00474658" w:rsidRDefault="007F2B41" w:rsidP="00474658">
      <w:pPr>
        <w:pStyle w:val="Prrafodelista"/>
        <w:numPr>
          <w:ilvl w:val="0"/>
          <w:numId w:val="4"/>
        </w:numPr>
        <w:spacing w:before="240" w:after="240"/>
        <w:ind w:left="714" w:right="191" w:hanging="357"/>
        <w:contextualSpacing w:val="0"/>
        <w:jc w:val="both"/>
        <w:rPr>
          <w:rFonts w:asciiTheme="majorHAnsi" w:hAnsiTheme="majorHAnsi" w:cstheme="majorHAnsi"/>
          <w:b/>
          <w:bCs/>
        </w:rPr>
      </w:pPr>
      <w:bookmarkStart w:id="0" w:name="_Hlk101352705"/>
      <w:bookmarkStart w:id="1" w:name="_Hlk132730125"/>
      <w:r w:rsidRPr="00474658">
        <w:rPr>
          <w:rFonts w:asciiTheme="majorHAnsi" w:hAnsiTheme="majorHAnsi" w:cstheme="majorHAnsi"/>
          <w:b/>
          <w:bCs/>
        </w:rPr>
        <w:t>En los primeros seis meses</w:t>
      </w:r>
      <w:r w:rsidR="00E304CF" w:rsidRPr="00474658">
        <w:rPr>
          <w:rFonts w:asciiTheme="majorHAnsi" w:hAnsiTheme="majorHAnsi" w:cstheme="majorHAnsi"/>
          <w:b/>
          <w:bCs/>
        </w:rPr>
        <w:t xml:space="preserve"> de 2024</w:t>
      </w:r>
      <w:r w:rsidR="00080251" w:rsidRPr="00474658">
        <w:rPr>
          <w:rFonts w:asciiTheme="majorHAnsi" w:hAnsiTheme="majorHAnsi" w:cstheme="majorHAnsi"/>
          <w:b/>
          <w:bCs/>
        </w:rPr>
        <w:t xml:space="preserve">, la producción de las cuatro compañías de Antofagasta Minerals alcanzó 284.700 toneladas de cobre fino, lo que </w:t>
      </w:r>
      <w:r w:rsidR="00643E5C" w:rsidRPr="00474658">
        <w:rPr>
          <w:rFonts w:asciiTheme="majorHAnsi" w:hAnsiTheme="majorHAnsi" w:cstheme="majorHAnsi"/>
          <w:b/>
          <w:bCs/>
        </w:rPr>
        <w:t>es</w:t>
      </w:r>
      <w:r w:rsidR="00080251" w:rsidRPr="00474658">
        <w:rPr>
          <w:rFonts w:asciiTheme="majorHAnsi" w:hAnsiTheme="majorHAnsi" w:cstheme="majorHAnsi"/>
          <w:b/>
          <w:bCs/>
        </w:rPr>
        <w:t xml:space="preserve"> muy similar a lo </w:t>
      </w:r>
      <w:r w:rsidRPr="00474658">
        <w:rPr>
          <w:rFonts w:asciiTheme="majorHAnsi" w:hAnsiTheme="majorHAnsi" w:cstheme="majorHAnsi"/>
          <w:b/>
          <w:bCs/>
        </w:rPr>
        <w:t>que produjo</w:t>
      </w:r>
      <w:r w:rsidR="00080251" w:rsidRPr="00474658">
        <w:rPr>
          <w:rFonts w:asciiTheme="majorHAnsi" w:hAnsiTheme="majorHAnsi" w:cstheme="majorHAnsi"/>
          <w:b/>
          <w:bCs/>
        </w:rPr>
        <w:t xml:space="preserve"> en </w:t>
      </w:r>
      <w:r w:rsidRPr="00474658">
        <w:rPr>
          <w:rFonts w:asciiTheme="majorHAnsi" w:hAnsiTheme="majorHAnsi" w:cstheme="majorHAnsi"/>
          <w:b/>
          <w:bCs/>
        </w:rPr>
        <w:t>el mismo periodo</w:t>
      </w:r>
      <w:r w:rsidR="00080251" w:rsidRPr="00474658">
        <w:rPr>
          <w:rFonts w:asciiTheme="majorHAnsi" w:hAnsiTheme="majorHAnsi" w:cstheme="majorHAnsi"/>
          <w:b/>
          <w:bCs/>
        </w:rPr>
        <w:t xml:space="preserve"> de 2023</w:t>
      </w:r>
      <w:r w:rsidR="00106104" w:rsidRPr="00474658">
        <w:rPr>
          <w:rFonts w:asciiTheme="majorHAnsi" w:hAnsiTheme="majorHAnsi" w:cstheme="majorHAnsi"/>
          <w:b/>
          <w:bCs/>
        </w:rPr>
        <w:t xml:space="preserve">, a pesar de </w:t>
      </w:r>
      <w:r w:rsidRPr="00474658">
        <w:rPr>
          <w:rFonts w:asciiTheme="majorHAnsi" w:hAnsiTheme="majorHAnsi" w:cstheme="majorHAnsi"/>
          <w:b/>
          <w:bCs/>
        </w:rPr>
        <w:t xml:space="preserve">enfrentar </w:t>
      </w:r>
      <w:r w:rsidR="00106104" w:rsidRPr="00474658">
        <w:rPr>
          <w:rFonts w:asciiTheme="majorHAnsi" w:hAnsiTheme="majorHAnsi" w:cstheme="majorHAnsi"/>
          <w:b/>
          <w:bCs/>
        </w:rPr>
        <w:t xml:space="preserve">leyes más bajas en </w:t>
      </w:r>
      <w:r w:rsidR="00500A2B" w:rsidRPr="00474658">
        <w:rPr>
          <w:rFonts w:asciiTheme="majorHAnsi" w:hAnsiTheme="majorHAnsi" w:cstheme="majorHAnsi"/>
          <w:b/>
          <w:bCs/>
        </w:rPr>
        <w:t>su</w:t>
      </w:r>
      <w:r w:rsidR="00106104" w:rsidRPr="00474658">
        <w:rPr>
          <w:rFonts w:asciiTheme="majorHAnsi" w:hAnsiTheme="majorHAnsi" w:cstheme="majorHAnsi"/>
          <w:b/>
          <w:bCs/>
        </w:rPr>
        <w:t xml:space="preserve"> dos principales operaciones</w:t>
      </w:r>
      <w:r w:rsidR="00080251" w:rsidRPr="00474658">
        <w:rPr>
          <w:rFonts w:asciiTheme="majorHAnsi" w:hAnsiTheme="majorHAnsi" w:cstheme="majorHAnsi"/>
          <w:b/>
          <w:bCs/>
        </w:rPr>
        <w:t xml:space="preserve">. </w:t>
      </w:r>
    </w:p>
    <w:p w14:paraId="6F1F106D" w14:textId="2F77F485" w:rsidR="00D23E95" w:rsidRPr="00474658" w:rsidRDefault="00106104" w:rsidP="00474658">
      <w:pPr>
        <w:pStyle w:val="Prrafodelista"/>
        <w:numPr>
          <w:ilvl w:val="0"/>
          <w:numId w:val="4"/>
        </w:numPr>
        <w:spacing w:before="240" w:after="240"/>
        <w:ind w:left="714" w:right="191" w:hanging="357"/>
        <w:contextualSpacing w:val="0"/>
        <w:jc w:val="both"/>
        <w:rPr>
          <w:rFonts w:asciiTheme="majorHAnsi" w:hAnsiTheme="majorHAnsi" w:cstheme="majorHAnsi"/>
          <w:b/>
          <w:bCs/>
        </w:rPr>
      </w:pPr>
      <w:r w:rsidRPr="00474658">
        <w:rPr>
          <w:rFonts w:asciiTheme="majorHAnsi" w:hAnsiTheme="majorHAnsi" w:cstheme="majorHAnsi"/>
          <w:b/>
          <w:bCs/>
        </w:rPr>
        <w:t xml:space="preserve">Iván Arriagada, Presidente Ejecutivo, destacó la importancia del avance en los proyectos que están impulsando </w:t>
      </w:r>
      <w:r w:rsidR="00E304CF" w:rsidRPr="00474658">
        <w:rPr>
          <w:rFonts w:asciiTheme="majorHAnsi" w:hAnsiTheme="majorHAnsi" w:cstheme="majorHAnsi"/>
          <w:b/>
          <w:bCs/>
        </w:rPr>
        <w:t>el Grupo</w:t>
      </w:r>
      <w:r w:rsidRPr="00474658">
        <w:rPr>
          <w:rFonts w:asciiTheme="majorHAnsi" w:hAnsiTheme="majorHAnsi" w:cstheme="majorHAnsi"/>
          <w:b/>
          <w:bCs/>
        </w:rPr>
        <w:t xml:space="preserve"> en Centinela y Los Pelambres</w:t>
      </w:r>
      <w:r w:rsidR="007F2B41" w:rsidRPr="00474658">
        <w:rPr>
          <w:rFonts w:asciiTheme="majorHAnsi" w:hAnsiTheme="majorHAnsi" w:cstheme="majorHAnsi"/>
          <w:b/>
          <w:bCs/>
        </w:rPr>
        <w:t xml:space="preserve">. </w:t>
      </w:r>
      <w:bookmarkStart w:id="2" w:name="_Hlk171942969"/>
      <w:r w:rsidR="007F2B41" w:rsidRPr="00474658">
        <w:rPr>
          <w:rFonts w:asciiTheme="majorHAnsi" w:hAnsiTheme="majorHAnsi" w:cstheme="majorHAnsi"/>
          <w:b/>
          <w:bCs/>
        </w:rPr>
        <w:t>“</w:t>
      </w:r>
      <w:r w:rsidRPr="00474658">
        <w:rPr>
          <w:rFonts w:asciiTheme="majorHAnsi" w:hAnsiTheme="majorHAnsi" w:cstheme="majorHAnsi"/>
          <w:b/>
          <w:bCs/>
        </w:rPr>
        <w:t>E</w:t>
      </w:r>
      <w:r w:rsidRPr="00474658">
        <w:rPr>
          <w:rFonts w:asciiTheme="majorHAnsi" w:hAnsiTheme="majorHAnsi" w:cstheme="majorHAnsi"/>
          <w:b/>
          <w:bCs/>
        </w:rPr>
        <w:t xml:space="preserve">stas inversiones agregarán crecimiento y seguridad a largo plazo </w:t>
      </w:r>
      <w:r w:rsidR="007F2B41" w:rsidRPr="00474658">
        <w:rPr>
          <w:rFonts w:asciiTheme="majorHAnsi" w:hAnsiTheme="majorHAnsi" w:cstheme="majorHAnsi"/>
          <w:b/>
          <w:bCs/>
        </w:rPr>
        <w:t>para el</w:t>
      </w:r>
      <w:r w:rsidRPr="00474658">
        <w:rPr>
          <w:rFonts w:asciiTheme="majorHAnsi" w:hAnsiTheme="majorHAnsi" w:cstheme="majorHAnsi"/>
          <w:b/>
          <w:bCs/>
        </w:rPr>
        <w:t xml:space="preserve"> futuro de nuestr</w:t>
      </w:r>
      <w:r w:rsidR="007F2B41" w:rsidRPr="00474658">
        <w:rPr>
          <w:rFonts w:asciiTheme="majorHAnsi" w:hAnsiTheme="majorHAnsi" w:cstheme="majorHAnsi"/>
          <w:b/>
          <w:bCs/>
        </w:rPr>
        <w:t>a</w:t>
      </w:r>
      <w:r w:rsidRPr="00474658">
        <w:rPr>
          <w:rFonts w:asciiTheme="majorHAnsi" w:hAnsiTheme="majorHAnsi" w:cstheme="majorHAnsi"/>
          <w:b/>
          <w:bCs/>
        </w:rPr>
        <w:t xml:space="preserve"> </w:t>
      </w:r>
      <w:r w:rsidR="007F2B41" w:rsidRPr="00474658">
        <w:rPr>
          <w:rFonts w:asciiTheme="majorHAnsi" w:hAnsiTheme="majorHAnsi" w:cstheme="majorHAnsi"/>
          <w:b/>
          <w:bCs/>
        </w:rPr>
        <w:t>producción</w:t>
      </w:r>
      <w:r w:rsidR="00E304CF" w:rsidRPr="00474658">
        <w:rPr>
          <w:rFonts w:asciiTheme="majorHAnsi" w:hAnsiTheme="majorHAnsi" w:cstheme="majorHAnsi"/>
          <w:b/>
          <w:bCs/>
        </w:rPr>
        <w:t>,</w:t>
      </w:r>
      <w:r w:rsidRPr="00474658">
        <w:rPr>
          <w:rFonts w:asciiTheme="majorHAnsi" w:hAnsiTheme="majorHAnsi" w:cstheme="majorHAnsi"/>
          <w:b/>
          <w:bCs/>
        </w:rPr>
        <w:t xml:space="preserve"> en un momento en que existe un reconocimiento </w:t>
      </w:r>
      <w:r w:rsidR="007F2B41" w:rsidRPr="00474658">
        <w:rPr>
          <w:rFonts w:asciiTheme="majorHAnsi" w:hAnsiTheme="majorHAnsi" w:cstheme="majorHAnsi"/>
          <w:b/>
          <w:bCs/>
        </w:rPr>
        <w:t xml:space="preserve">claro </w:t>
      </w:r>
      <w:r w:rsidRPr="00474658">
        <w:rPr>
          <w:rFonts w:asciiTheme="majorHAnsi" w:hAnsiTheme="majorHAnsi" w:cstheme="majorHAnsi"/>
          <w:b/>
          <w:bCs/>
        </w:rPr>
        <w:t>y generalizado del papel fundamental del cobre en la transición energética</w:t>
      </w:r>
      <w:r w:rsidR="007F2B41" w:rsidRPr="00474658">
        <w:rPr>
          <w:rFonts w:asciiTheme="majorHAnsi" w:hAnsiTheme="majorHAnsi" w:cstheme="majorHAnsi"/>
          <w:b/>
          <w:bCs/>
        </w:rPr>
        <w:t xml:space="preserve">”, comentó. </w:t>
      </w:r>
    </w:p>
    <w:bookmarkEnd w:id="0"/>
    <w:bookmarkEnd w:id="1"/>
    <w:bookmarkEnd w:id="2"/>
    <w:p w14:paraId="1070B7CB" w14:textId="3B28CB4F" w:rsidR="00CB248C" w:rsidRPr="00474658" w:rsidRDefault="005E1D5B" w:rsidP="00474658">
      <w:pPr>
        <w:pStyle w:val="Default"/>
        <w:pBdr>
          <w:bottom w:val="single" w:sz="4" w:space="1" w:color="auto"/>
        </w:pBdr>
        <w:spacing w:before="120" w:after="120"/>
        <w:ind w:right="191"/>
        <w:jc w:val="right"/>
        <w:rPr>
          <w:rFonts w:asciiTheme="majorHAnsi" w:hAnsiTheme="majorHAnsi" w:cstheme="majorHAnsi"/>
          <w:color w:val="auto"/>
        </w:rPr>
      </w:pPr>
      <w:r w:rsidRPr="00474658">
        <w:rPr>
          <w:rFonts w:asciiTheme="majorHAnsi" w:hAnsiTheme="majorHAnsi" w:cstheme="majorHAnsi"/>
          <w:color w:val="auto"/>
        </w:rPr>
        <w:t>S</w:t>
      </w:r>
      <w:r w:rsidR="003308C7" w:rsidRPr="00474658">
        <w:rPr>
          <w:rFonts w:asciiTheme="majorHAnsi" w:hAnsiTheme="majorHAnsi" w:cstheme="majorHAnsi"/>
          <w:color w:val="auto"/>
        </w:rPr>
        <w:t xml:space="preserve">antiago, </w:t>
      </w:r>
      <w:r w:rsidR="00AE58FC" w:rsidRPr="00474658">
        <w:rPr>
          <w:rFonts w:asciiTheme="majorHAnsi" w:hAnsiTheme="majorHAnsi" w:cstheme="majorHAnsi"/>
          <w:color w:val="auto"/>
        </w:rPr>
        <w:t>17</w:t>
      </w:r>
      <w:r w:rsidR="00B30E6E" w:rsidRPr="00474658">
        <w:rPr>
          <w:rFonts w:asciiTheme="majorHAnsi" w:hAnsiTheme="majorHAnsi" w:cstheme="majorHAnsi"/>
          <w:color w:val="auto"/>
        </w:rPr>
        <w:t xml:space="preserve"> de </w:t>
      </w:r>
      <w:r w:rsidR="006813C6" w:rsidRPr="00474658">
        <w:rPr>
          <w:rFonts w:asciiTheme="majorHAnsi" w:hAnsiTheme="majorHAnsi" w:cstheme="majorHAnsi"/>
          <w:color w:val="auto"/>
        </w:rPr>
        <w:t>julio</w:t>
      </w:r>
      <w:r w:rsidR="003308C7" w:rsidRPr="00474658">
        <w:rPr>
          <w:rFonts w:asciiTheme="majorHAnsi" w:hAnsiTheme="majorHAnsi" w:cstheme="majorHAnsi"/>
          <w:color w:val="auto"/>
        </w:rPr>
        <w:t xml:space="preserve"> de 20</w:t>
      </w:r>
      <w:r w:rsidR="004E4294" w:rsidRPr="00474658">
        <w:rPr>
          <w:rFonts w:asciiTheme="majorHAnsi" w:hAnsiTheme="majorHAnsi" w:cstheme="majorHAnsi"/>
          <w:color w:val="auto"/>
        </w:rPr>
        <w:t>2</w:t>
      </w:r>
      <w:r w:rsidR="00AE58FC" w:rsidRPr="00474658">
        <w:rPr>
          <w:rFonts w:asciiTheme="majorHAnsi" w:hAnsiTheme="majorHAnsi" w:cstheme="majorHAnsi"/>
          <w:color w:val="auto"/>
        </w:rPr>
        <w:t>4</w:t>
      </w:r>
    </w:p>
    <w:p w14:paraId="0FFFB51E" w14:textId="5B91B7CD" w:rsidR="00500A2B" w:rsidRPr="00474658" w:rsidRDefault="00E304CF" w:rsidP="00474658">
      <w:pPr>
        <w:shd w:val="clear" w:color="auto" w:fill="FDFDFD"/>
        <w:spacing w:before="120"/>
        <w:ind w:right="191"/>
        <w:rPr>
          <w:rFonts w:asciiTheme="majorHAnsi" w:hAnsiTheme="majorHAnsi" w:cstheme="majorHAnsi"/>
        </w:rPr>
      </w:pPr>
      <w:r w:rsidRPr="00474658">
        <w:rPr>
          <w:rFonts w:asciiTheme="majorHAnsi" w:hAnsiTheme="majorHAnsi" w:cstheme="majorHAnsi"/>
          <w:iCs/>
        </w:rPr>
        <w:t>G</w:t>
      </w:r>
      <w:r w:rsidRPr="00474658">
        <w:rPr>
          <w:rFonts w:asciiTheme="majorHAnsi" w:hAnsiTheme="majorHAnsi" w:cstheme="majorHAnsi"/>
          <w:iCs/>
        </w:rPr>
        <w:t>racias a un aumento de</w:t>
      </w:r>
      <w:r w:rsidRPr="00474658">
        <w:rPr>
          <w:rFonts w:asciiTheme="majorHAnsi" w:hAnsiTheme="majorHAnsi" w:cstheme="majorHAnsi"/>
        </w:rPr>
        <w:t xml:space="preserve"> 20% en</w:t>
      </w:r>
      <w:r w:rsidR="006901F1" w:rsidRPr="00474658">
        <w:rPr>
          <w:rFonts w:asciiTheme="majorHAnsi" w:hAnsiTheme="majorHAnsi" w:cstheme="majorHAnsi"/>
        </w:rPr>
        <w:t xml:space="preserve"> </w:t>
      </w:r>
      <w:r w:rsidR="00474658">
        <w:rPr>
          <w:rFonts w:asciiTheme="majorHAnsi" w:hAnsiTheme="majorHAnsi" w:cstheme="majorHAnsi"/>
        </w:rPr>
        <w:t>la producción d</w:t>
      </w:r>
      <w:r w:rsidRPr="00474658">
        <w:rPr>
          <w:rFonts w:asciiTheme="majorHAnsi" w:hAnsiTheme="majorHAnsi" w:cstheme="majorHAnsi"/>
        </w:rPr>
        <w:t>el segundo trimestre</w:t>
      </w:r>
      <w:r w:rsidRPr="00474658">
        <w:rPr>
          <w:rFonts w:asciiTheme="majorHAnsi" w:hAnsiTheme="majorHAnsi" w:cstheme="majorHAnsi"/>
        </w:rPr>
        <w:t>,</w:t>
      </w:r>
      <w:r w:rsidR="00D45835" w:rsidRPr="00474658">
        <w:rPr>
          <w:rFonts w:asciiTheme="majorHAnsi" w:hAnsiTheme="majorHAnsi" w:cstheme="majorHAnsi"/>
          <w:lang w:val="es-CL"/>
        </w:rPr>
        <w:t xml:space="preserve"> las cuatro compañías de Antofagasta Minerals</w:t>
      </w:r>
      <w:r w:rsidR="009C0214" w:rsidRPr="00474658">
        <w:rPr>
          <w:rFonts w:asciiTheme="majorHAnsi" w:hAnsiTheme="majorHAnsi" w:cstheme="majorHAnsi"/>
          <w:lang w:val="es-CL"/>
        </w:rPr>
        <w:t xml:space="preserve"> </w:t>
      </w:r>
      <w:r w:rsidR="00474658">
        <w:rPr>
          <w:rFonts w:asciiTheme="majorHAnsi" w:hAnsiTheme="majorHAnsi" w:cstheme="majorHAnsi"/>
          <w:lang w:val="es-CL"/>
        </w:rPr>
        <w:t>produjeron</w:t>
      </w:r>
      <w:r w:rsidR="009C0214" w:rsidRPr="00474658">
        <w:rPr>
          <w:rFonts w:asciiTheme="majorHAnsi" w:hAnsiTheme="majorHAnsi" w:cstheme="majorHAnsi"/>
          <w:lang w:val="es-CL"/>
        </w:rPr>
        <w:t xml:space="preserve"> 2</w:t>
      </w:r>
      <w:r w:rsidR="001C08D4" w:rsidRPr="00474658">
        <w:rPr>
          <w:rFonts w:asciiTheme="majorHAnsi" w:hAnsiTheme="majorHAnsi" w:cstheme="majorHAnsi"/>
          <w:lang w:val="es-CL"/>
        </w:rPr>
        <w:t>84.700</w:t>
      </w:r>
      <w:r w:rsidR="009C0214" w:rsidRPr="00474658">
        <w:rPr>
          <w:rFonts w:asciiTheme="majorHAnsi" w:hAnsiTheme="majorHAnsi" w:cstheme="majorHAnsi"/>
          <w:lang w:val="es-CL"/>
        </w:rPr>
        <w:t xml:space="preserve"> toneladas de cobre fino</w:t>
      </w:r>
      <w:r w:rsidR="00012DB0" w:rsidRPr="00474658">
        <w:rPr>
          <w:rFonts w:asciiTheme="majorHAnsi" w:hAnsiTheme="majorHAnsi" w:cstheme="majorHAnsi"/>
          <w:lang w:val="es-CL"/>
        </w:rPr>
        <w:t xml:space="preserve"> en la primera mitad del año</w:t>
      </w:r>
      <w:r w:rsidR="009C0214" w:rsidRPr="00474658">
        <w:rPr>
          <w:rFonts w:asciiTheme="majorHAnsi" w:hAnsiTheme="majorHAnsi" w:cstheme="majorHAnsi"/>
          <w:lang w:val="es-CL"/>
        </w:rPr>
        <w:t xml:space="preserve">, </w:t>
      </w:r>
      <w:r w:rsidR="001C08D4" w:rsidRPr="00474658">
        <w:rPr>
          <w:rFonts w:asciiTheme="majorHAnsi" w:hAnsiTheme="majorHAnsi" w:cstheme="majorHAnsi"/>
          <w:lang w:val="es-CL"/>
        </w:rPr>
        <w:t xml:space="preserve">similar a lo </w:t>
      </w:r>
      <w:r w:rsidR="00CB0085" w:rsidRPr="00474658">
        <w:rPr>
          <w:rFonts w:asciiTheme="majorHAnsi" w:hAnsiTheme="majorHAnsi" w:cstheme="majorHAnsi"/>
          <w:lang w:val="es-CL"/>
        </w:rPr>
        <w:t>obtenido</w:t>
      </w:r>
      <w:r w:rsidR="007F2B41" w:rsidRPr="00474658">
        <w:rPr>
          <w:rFonts w:asciiTheme="majorHAnsi" w:hAnsiTheme="majorHAnsi" w:cstheme="majorHAnsi"/>
          <w:lang w:val="es-CL"/>
        </w:rPr>
        <w:t xml:space="preserve"> </w:t>
      </w:r>
      <w:r w:rsidR="001C08D4" w:rsidRPr="00474658">
        <w:rPr>
          <w:rFonts w:asciiTheme="majorHAnsi" w:hAnsiTheme="majorHAnsi" w:cstheme="majorHAnsi"/>
          <w:lang w:val="es-CL"/>
        </w:rPr>
        <w:t>en los primeros seis meses de 2023</w:t>
      </w:r>
      <w:r w:rsidR="009C0214" w:rsidRPr="00474658">
        <w:rPr>
          <w:rFonts w:asciiTheme="majorHAnsi" w:hAnsiTheme="majorHAnsi" w:cstheme="majorHAnsi"/>
        </w:rPr>
        <w:t>.</w:t>
      </w:r>
      <w:r w:rsidR="00500A2B" w:rsidRPr="00474658">
        <w:rPr>
          <w:rFonts w:asciiTheme="majorHAnsi" w:hAnsiTheme="majorHAnsi" w:cstheme="majorHAnsi"/>
        </w:rPr>
        <w:t xml:space="preserve"> </w:t>
      </w:r>
      <w:r w:rsidR="00500A2B" w:rsidRPr="00474658">
        <w:rPr>
          <w:rFonts w:asciiTheme="majorHAnsi" w:hAnsiTheme="majorHAnsi" w:cstheme="majorHAnsi"/>
        </w:rPr>
        <w:t>Este resultado se logró a pesar de</w:t>
      </w:r>
      <w:r w:rsidRPr="00474658">
        <w:rPr>
          <w:rFonts w:asciiTheme="majorHAnsi" w:hAnsiTheme="majorHAnsi" w:cstheme="majorHAnsi"/>
        </w:rPr>
        <w:t xml:space="preserve"> menores</w:t>
      </w:r>
      <w:r w:rsidR="00500A2B" w:rsidRPr="00474658">
        <w:rPr>
          <w:rFonts w:asciiTheme="majorHAnsi" w:hAnsiTheme="majorHAnsi" w:cstheme="majorHAnsi"/>
        </w:rPr>
        <w:t xml:space="preserve"> leyes de cobre </w:t>
      </w:r>
      <w:r w:rsidRPr="00474658">
        <w:rPr>
          <w:rFonts w:asciiTheme="majorHAnsi" w:hAnsiTheme="majorHAnsi" w:cstheme="majorHAnsi"/>
        </w:rPr>
        <w:t>en</w:t>
      </w:r>
      <w:r w:rsidR="00500A2B" w:rsidRPr="00474658">
        <w:rPr>
          <w:rFonts w:asciiTheme="majorHAnsi" w:hAnsiTheme="majorHAnsi" w:cstheme="majorHAnsi"/>
        </w:rPr>
        <w:t xml:space="preserve"> los minerales </w:t>
      </w:r>
      <w:r w:rsidRPr="00474658">
        <w:rPr>
          <w:rFonts w:asciiTheme="majorHAnsi" w:hAnsiTheme="majorHAnsi" w:cstheme="majorHAnsi"/>
        </w:rPr>
        <w:t xml:space="preserve">que se procesan en </w:t>
      </w:r>
      <w:r w:rsidR="00500A2B" w:rsidRPr="00474658">
        <w:rPr>
          <w:rFonts w:asciiTheme="majorHAnsi" w:hAnsiTheme="majorHAnsi" w:cstheme="majorHAnsi"/>
          <w:lang w:val="es-CL"/>
        </w:rPr>
        <w:t>Los Pelambres y Centinela, las dos principales operaciones del Grupo</w:t>
      </w:r>
      <w:r w:rsidRPr="00474658">
        <w:rPr>
          <w:rFonts w:asciiTheme="majorHAnsi" w:hAnsiTheme="majorHAnsi" w:cstheme="majorHAnsi"/>
          <w:lang w:val="es-CL"/>
        </w:rPr>
        <w:t>.</w:t>
      </w:r>
      <w:r w:rsidR="00500A2B" w:rsidRPr="00474658">
        <w:rPr>
          <w:rFonts w:asciiTheme="majorHAnsi" w:hAnsiTheme="majorHAnsi" w:cstheme="majorHAnsi"/>
          <w:iCs/>
        </w:rPr>
        <w:t xml:space="preserve"> </w:t>
      </w:r>
    </w:p>
    <w:p w14:paraId="069DC9F7" w14:textId="73C7CFE7" w:rsidR="007F2B41" w:rsidRPr="00474658" w:rsidRDefault="007F2B41" w:rsidP="00474658">
      <w:pPr>
        <w:shd w:val="clear" w:color="auto" w:fill="FDFDFD"/>
        <w:spacing w:before="120"/>
        <w:ind w:right="191"/>
        <w:rPr>
          <w:rFonts w:asciiTheme="majorHAnsi" w:hAnsiTheme="majorHAnsi" w:cstheme="majorHAnsi"/>
          <w:lang w:val="es-CL"/>
        </w:rPr>
      </w:pPr>
      <w:r w:rsidRPr="00474658">
        <w:rPr>
          <w:rFonts w:asciiTheme="majorHAnsi" w:hAnsiTheme="majorHAnsi" w:cstheme="majorHAnsi"/>
          <w:iCs/>
        </w:rPr>
        <w:t>“</w:t>
      </w:r>
      <w:r w:rsidR="00474658">
        <w:rPr>
          <w:rFonts w:asciiTheme="majorHAnsi" w:hAnsiTheme="majorHAnsi" w:cstheme="majorHAnsi"/>
          <w:lang w:val="es-CL"/>
        </w:rPr>
        <w:t>E</w:t>
      </w:r>
      <w:r w:rsidR="00474658" w:rsidRPr="00474658">
        <w:rPr>
          <w:rFonts w:asciiTheme="majorHAnsi" w:hAnsiTheme="majorHAnsi" w:cstheme="majorHAnsi"/>
          <w:lang w:val="es-CL"/>
        </w:rPr>
        <w:t>n el segundo trimestre del año</w:t>
      </w:r>
      <w:r w:rsidR="00474658">
        <w:rPr>
          <w:rFonts w:asciiTheme="majorHAnsi" w:hAnsiTheme="majorHAnsi" w:cstheme="majorHAnsi"/>
          <w:lang w:val="es-CL"/>
        </w:rPr>
        <w:t>,</w:t>
      </w:r>
      <w:r w:rsidR="00474658" w:rsidRPr="00474658">
        <w:rPr>
          <w:rFonts w:asciiTheme="majorHAnsi" w:hAnsiTheme="majorHAnsi" w:cstheme="majorHAnsi"/>
          <w:lang w:val="es-CL"/>
        </w:rPr>
        <w:t xml:space="preserve"> </w:t>
      </w:r>
      <w:r w:rsidR="00500A2B" w:rsidRPr="00474658">
        <w:rPr>
          <w:rFonts w:asciiTheme="majorHAnsi" w:hAnsiTheme="majorHAnsi" w:cstheme="majorHAnsi"/>
          <w:lang w:val="es-CL"/>
        </w:rPr>
        <w:t xml:space="preserve">Minera </w:t>
      </w:r>
      <w:r w:rsidRPr="00474658">
        <w:rPr>
          <w:rFonts w:asciiTheme="majorHAnsi" w:hAnsiTheme="majorHAnsi" w:cstheme="majorHAnsi"/>
          <w:lang w:val="es-CL"/>
        </w:rPr>
        <w:t xml:space="preserve">Los Pelambres </w:t>
      </w:r>
      <w:r w:rsidR="00474658">
        <w:rPr>
          <w:rFonts w:asciiTheme="majorHAnsi" w:hAnsiTheme="majorHAnsi" w:cstheme="majorHAnsi"/>
          <w:lang w:val="es-CL"/>
        </w:rPr>
        <w:t>consiguió</w:t>
      </w:r>
      <w:r w:rsidRPr="00474658">
        <w:rPr>
          <w:rFonts w:asciiTheme="majorHAnsi" w:hAnsiTheme="majorHAnsi" w:cstheme="majorHAnsi"/>
          <w:lang w:val="es-CL"/>
        </w:rPr>
        <w:t xml:space="preserve"> mayores volúmenes de procesamiento de mineral </w:t>
      </w:r>
      <w:r w:rsidR="00E304CF" w:rsidRPr="00474658">
        <w:rPr>
          <w:rFonts w:asciiTheme="majorHAnsi" w:hAnsiTheme="majorHAnsi" w:cstheme="majorHAnsi"/>
          <w:lang w:val="es-CL"/>
        </w:rPr>
        <w:t>gracias a</w:t>
      </w:r>
      <w:r w:rsidRPr="00474658">
        <w:rPr>
          <w:rFonts w:asciiTheme="majorHAnsi" w:hAnsiTheme="majorHAnsi" w:cstheme="majorHAnsi"/>
          <w:lang w:val="es-CL"/>
        </w:rPr>
        <w:t xml:space="preserve">l Proyecto </w:t>
      </w:r>
      <w:r w:rsidR="00CB0085" w:rsidRPr="00474658">
        <w:rPr>
          <w:rFonts w:asciiTheme="majorHAnsi" w:hAnsiTheme="majorHAnsi" w:cstheme="majorHAnsi"/>
          <w:lang w:val="es-CL"/>
        </w:rPr>
        <w:t>Infraestructura Complementaria (INCO)</w:t>
      </w:r>
      <w:r w:rsidRPr="00474658">
        <w:rPr>
          <w:rFonts w:asciiTheme="majorHAnsi" w:hAnsiTheme="majorHAnsi" w:cstheme="majorHAnsi"/>
          <w:lang w:val="es-CL"/>
        </w:rPr>
        <w:t xml:space="preserve"> recientemente finalizado</w:t>
      </w:r>
      <w:r w:rsidR="00CB0085" w:rsidRPr="00474658">
        <w:rPr>
          <w:rFonts w:asciiTheme="majorHAnsi" w:hAnsiTheme="majorHAnsi" w:cstheme="majorHAnsi"/>
          <w:lang w:val="es-CL"/>
        </w:rPr>
        <w:t>. P</w:t>
      </w:r>
      <w:r w:rsidRPr="00474658">
        <w:rPr>
          <w:rFonts w:asciiTheme="majorHAnsi" w:hAnsiTheme="majorHAnsi" w:cstheme="majorHAnsi"/>
          <w:lang w:val="es-CL"/>
        </w:rPr>
        <w:t xml:space="preserve">ara la segunda mitad del </w:t>
      </w:r>
      <w:r w:rsidR="00E304CF" w:rsidRPr="00474658">
        <w:rPr>
          <w:rFonts w:asciiTheme="majorHAnsi" w:hAnsiTheme="majorHAnsi" w:cstheme="majorHAnsi"/>
          <w:lang w:val="es-CL"/>
        </w:rPr>
        <w:t>2024</w:t>
      </w:r>
      <w:r w:rsidRPr="00474658">
        <w:rPr>
          <w:rFonts w:asciiTheme="majorHAnsi" w:hAnsiTheme="majorHAnsi" w:cstheme="majorHAnsi"/>
          <w:lang w:val="es-CL"/>
        </w:rPr>
        <w:t xml:space="preserve"> se espera</w:t>
      </w:r>
      <w:r w:rsidR="00E304CF" w:rsidRPr="00474658">
        <w:rPr>
          <w:rFonts w:asciiTheme="majorHAnsi" w:hAnsiTheme="majorHAnsi" w:cstheme="majorHAnsi"/>
          <w:lang w:val="es-CL"/>
        </w:rPr>
        <w:t>, además,</w:t>
      </w:r>
      <w:r w:rsidRPr="00474658">
        <w:rPr>
          <w:rFonts w:asciiTheme="majorHAnsi" w:hAnsiTheme="majorHAnsi" w:cstheme="majorHAnsi"/>
          <w:lang w:val="es-CL"/>
        </w:rPr>
        <w:t xml:space="preserve"> que </w:t>
      </w:r>
      <w:r w:rsidR="002A3CC5" w:rsidRPr="00474658">
        <w:rPr>
          <w:rFonts w:asciiTheme="majorHAnsi" w:hAnsiTheme="majorHAnsi" w:cstheme="majorHAnsi"/>
          <w:lang w:val="es-CL"/>
        </w:rPr>
        <w:t>su</w:t>
      </w:r>
      <w:r w:rsidRPr="00474658">
        <w:rPr>
          <w:rFonts w:asciiTheme="majorHAnsi" w:hAnsiTheme="majorHAnsi" w:cstheme="majorHAnsi"/>
          <w:lang w:val="es-CL"/>
        </w:rPr>
        <w:t xml:space="preserve"> producción</w:t>
      </w:r>
      <w:r w:rsidR="002A3CC5" w:rsidRPr="00474658">
        <w:rPr>
          <w:rFonts w:asciiTheme="majorHAnsi" w:hAnsiTheme="majorHAnsi" w:cstheme="majorHAnsi"/>
          <w:lang w:val="es-CL"/>
        </w:rPr>
        <w:t xml:space="preserve"> </w:t>
      </w:r>
      <w:r w:rsidRPr="00474658">
        <w:rPr>
          <w:rFonts w:asciiTheme="majorHAnsi" w:hAnsiTheme="majorHAnsi" w:cstheme="majorHAnsi"/>
          <w:lang w:val="es-CL"/>
        </w:rPr>
        <w:t xml:space="preserve">incluya </w:t>
      </w:r>
      <w:r w:rsidR="006901F1" w:rsidRPr="00474658">
        <w:rPr>
          <w:rFonts w:asciiTheme="majorHAnsi" w:hAnsiTheme="majorHAnsi" w:cstheme="majorHAnsi"/>
          <w:lang w:val="es-CL"/>
        </w:rPr>
        <w:t>parte</w:t>
      </w:r>
      <w:r w:rsidRPr="00474658">
        <w:rPr>
          <w:rFonts w:asciiTheme="majorHAnsi" w:hAnsiTheme="majorHAnsi" w:cstheme="majorHAnsi"/>
          <w:lang w:val="es-CL"/>
        </w:rPr>
        <w:t xml:space="preserve"> </w:t>
      </w:r>
      <w:r w:rsidR="006901F1" w:rsidRPr="00474658">
        <w:rPr>
          <w:rFonts w:asciiTheme="majorHAnsi" w:hAnsiTheme="majorHAnsi" w:cstheme="majorHAnsi"/>
          <w:lang w:val="es-CL"/>
        </w:rPr>
        <w:t>de</w:t>
      </w:r>
      <w:r w:rsidR="002A3CC5" w:rsidRPr="00474658">
        <w:rPr>
          <w:rFonts w:asciiTheme="majorHAnsi" w:hAnsiTheme="majorHAnsi" w:cstheme="majorHAnsi"/>
          <w:lang w:val="es-CL"/>
        </w:rPr>
        <w:t>l concentrado que acumuló como inventario</w:t>
      </w:r>
      <w:r w:rsidR="006901F1" w:rsidRPr="00474658">
        <w:rPr>
          <w:rFonts w:asciiTheme="majorHAnsi" w:hAnsiTheme="majorHAnsi" w:cstheme="majorHAnsi"/>
          <w:lang w:val="es-CL"/>
        </w:rPr>
        <w:t xml:space="preserve"> debido a trabajos realizados en </w:t>
      </w:r>
      <w:r w:rsidR="002A3CC5" w:rsidRPr="00474658">
        <w:rPr>
          <w:rFonts w:asciiTheme="majorHAnsi" w:hAnsiTheme="majorHAnsi" w:cstheme="majorHAnsi"/>
          <w:lang w:val="es-CL"/>
        </w:rPr>
        <w:t>su sistema de transporte de concentrado</w:t>
      </w:r>
      <w:r w:rsidR="00474658">
        <w:rPr>
          <w:rFonts w:asciiTheme="majorHAnsi" w:hAnsiTheme="majorHAnsi" w:cstheme="majorHAnsi"/>
          <w:lang w:val="es-CL"/>
        </w:rPr>
        <w:t xml:space="preserve"> durante el primer trimestre</w:t>
      </w:r>
      <w:r w:rsidR="00CB0085" w:rsidRPr="00474658">
        <w:rPr>
          <w:rFonts w:asciiTheme="majorHAnsi" w:hAnsiTheme="majorHAnsi" w:cstheme="majorHAnsi"/>
          <w:lang w:val="es-CL"/>
        </w:rPr>
        <w:t>”, indicó Iván Arriagada, presidente Ejecutivo de Antofagasta Minerals</w:t>
      </w:r>
      <w:r w:rsidRPr="00474658">
        <w:rPr>
          <w:rFonts w:asciiTheme="majorHAnsi" w:hAnsiTheme="majorHAnsi" w:cstheme="majorHAnsi"/>
          <w:lang w:val="es-CL"/>
        </w:rPr>
        <w:t>.</w:t>
      </w:r>
    </w:p>
    <w:p w14:paraId="70E18C8E" w14:textId="351DB57E" w:rsidR="007F2B41" w:rsidRPr="00474658" w:rsidRDefault="00E07B04" w:rsidP="00474658">
      <w:pPr>
        <w:shd w:val="clear" w:color="auto" w:fill="FDFDFD"/>
        <w:spacing w:before="120"/>
        <w:ind w:right="191"/>
        <w:rPr>
          <w:rFonts w:asciiTheme="majorHAnsi" w:hAnsiTheme="majorHAnsi" w:cstheme="majorHAnsi"/>
          <w:lang w:val="es-CL"/>
        </w:rPr>
      </w:pPr>
      <w:r w:rsidRPr="00474658">
        <w:rPr>
          <w:rFonts w:asciiTheme="majorHAnsi" w:hAnsiTheme="majorHAnsi" w:cstheme="majorHAnsi"/>
          <w:lang w:val="es-CL"/>
        </w:rPr>
        <w:t xml:space="preserve">En el caso de </w:t>
      </w:r>
      <w:r w:rsidR="00500A2B" w:rsidRPr="00474658">
        <w:rPr>
          <w:rFonts w:asciiTheme="majorHAnsi" w:hAnsiTheme="majorHAnsi" w:cstheme="majorHAnsi"/>
          <w:lang w:val="es-CL"/>
        </w:rPr>
        <w:t xml:space="preserve">Minera </w:t>
      </w:r>
      <w:r w:rsidRPr="00474658">
        <w:rPr>
          <w:rFonts w:asciiTheme="majorHAnsi" w:hAnsiTheme="majorHAnsi" w:cstheme="majorHAnsi"/>
          <w:lang w:val="es-CL"/>
        </w:rPr>
        <w:t>Centinela</w:t>
      </w:r>
      <w:r w:rsidR="00500A2B" w:rsidRPr="00474658">
        <w:rPr>
          <w:rFonts w:asciiTheme="majorHAnsi" w:hAnsiTheme="majorHAnsi" w:cstheme="majorHAnsi"/>
          <w:lang w:val="es-CL"/>
        </w:rPr>
        <w:t>, la producción “</w:t>
      </w:r>
      <w:r w:rsidR="00500A2B" w:rsidRPr="00474658">
        <w:rPr>
          <w:rFonts w:asciiTheme="majorHAnsi" w:hAnsiTheme="majorHAnsi" w:cstheme="majorHAnsi"/>
          <w:lang w:val="es-CL"/>
        </w:rPr>
        <w:t>también reflejó menores recuperaciones</w:t>
      </w:r>
      <w:r w:rsidR="002A3CC5" w:rsidRPr="00474658">
        <w:rPr>
          <w:rFonts w:asciiTheme="majorHAnsi" w:hAnsiTheme="majorHAnsi" w:cstheme="majorHAnsi"/>
          <w:lang w:val="es-CL"/>
        </w:rPr>
        <w:t>, las</w:t>
      </w:r>
      <w:r w:rsidR="00500A2B" w:rsidRPr="00474658">
        <w:rPr>
          <w:rFonts w:asciiTheme="majorHAnsi" w:hAnsiTheme="majorHAnsi" w:cstheme="majorHAnsi"/>
          <w:lang w:val="es-CL"/>
        </w:rPr>
        <w:t xml:space="preserve"> que se vieron afectadas por niveles elevados de arcilla y finos </w:t>
      </w:r>
      <w:r w:rsidR="00E304CF" w:rsidRPr="00474658">
        <w:rPr>
          <w:rFonts w:asciiTheme="majorHAnsi" w:hAnsiTheme="majorHAnsi" w:cstheme="majorHAnsi"/>
          <w:lang w:val="es-CL"/>
        </w:rPr>
        <w:t>de</w:t>
      </w:r>
      <w:r w:rsidR="00500A2B" w:rsidRPr="00474658">
        <w:rPr>
          <w:rFonts w:asciiTheme="majorHAnsi" w:hAnsiTheme="majorHAnsi" w:cstheme="majorHAnsi"/>
          <w:lang w:val="es-CL"/>
        </w:rPr>
        <w:t xml:space="preserve"> los minerales. Teniendo en cuenta lo anterior, esperamos que la producción de </w:t>
      </w:r>
      <w:r w:rsidR="002A3CC5" w:rsidRPr="00474658">
        <w:rPr>
          <w:rFonts w:asciiTheme="majorHAnsi" w:hAnsiTheme="majorHAnsi" w:cstheme="majorHAnsi"/>
          <w:lang w:val="es-CL"/>
        </w:rPr>
        <w:t xml:space="preserve">Antofagasta Minerals en </w:t>
      </w:r>
      <w:r w:rsidR="00500A2B" w:rsidRPr="00474658">
        <w:rPr>
          <w:rFonts w:asciiTheme="majorHAnsi" w:hAnsiTheme="majorHAnsi" w:cstheme="majorHAnsi"/>
          <w:lang w:val="es-CL"/>
        </w:rPr>
        <w:t>todo el año se sitúe en el extremo inferior de</w:t>
      </w:r>
      <w:r w:rsidR="00500A2B" w:rsidRPr="00474658">
        <w:rPr>
          <w:rFonts w:asciiTheme="majorHAnsi" w:hAnsiTheme="majorHAnsi" w:cstheme="majorHAnsi"/>
          <w:lang w:val="es-CL"/>
        </w:rPr>
        <w:t>l</w:t>
      </w:r>
      <w:r w:rsidR="00500A2B" w:rsidRPr="00474658">
        <w:rPr>
          <w:rFonts w:asciiTheme="majorHAnsi" w:hAnsiTheme="majorHAnsi" w:cstheme="majorHAnsi"/>
          <w:lang w:val="es-CL"/>
        </w:rPr>
        <w:t xml:space="preserve"> rango </w:t>
      </w:r>
      <w:r w:rsidR="00500A2B" w:rsidRPr="00474658">
        <w:rPr>
          <w:rFonts w:asciiTheme="majorHAnsi" w:hAnsiTheme="majorHAnsi" w:cstheme="majorHAnsi"/>
          <w:lang w:val="es-CL"/>
        </w:rPr>
        <w:t>previsto</w:t>
      </w:r>
      <w:r w:rsidR="00500A2B" w:rsidRPr="00474658">
        <w:rPr>
          <w:rFonts w:asciiTheme="majorHAnsi" w:hAnsiTheme="majorHAnsi" w:cstheme="majorHAnsi"/>
          <w:lang w:val="es-CL"/>
        </w:rPr>
        <w:t xml:space="preserve"> de 670-710.000 toneladas</w:t>
      </w:r>
      <w:r w:rsidR="00500A2B" w:rsidRPr="00474658">
        <w:rPr>
          <w:rFonts w:asciiTheme="majorHAnsi" w:hAnsiTheme="majorHAnsi" w:cstheme="majorHAnsi"/>
          <w:lang w:val="es-CL"/>
        </w:rPr>
        <w:t>”, informó Iván Arriagada</w:t>
      </w:r>
      <w:r w:rsidR="00500A2B" w:rsidRPr="00474658">
        <w:rPr>
          <w:rFonts w:asciiTheme="majorHAnsi" w:hAnsiTheme="majorHAnsi" w:cstheme="majorHAnsi"/>
          <w:lang w:val="es-CL"/>
        </w:rPr>
        <w:t>.</w:t>
      </w:r>
    </w:p>
    <w:p w14:paraId="60AE9C8C" w14:textId="77777777" w:rsidR="00474658" w:rsidRDefault="006901F1" w:rsidP="00474658">
      <w:pPr>
        <w:shd w:val="clear" w:color="auto" w:fill="FDFDFD"/>
        <w:spacing w:before="120"/>
        <w:ind w:right="191"/>
        <w:rPr>
          <w:rFonts w:asciiTheme="majorHAnsi" w:hAnsiTheme="majorHAnsi" w:cstheme="majorHAnsi"/>
          <w:lang w:val="es-CL"/>
        </w:rPr>
      </w:pPr>
      <w:r w:rsidRPr="00474658">
        <w:rPr>
          <w:rFonts w:asciiTheme="majorHAnsi" w:hAnsiTheme="majorHAnsi" w:cstheme="majorHAnsi"/>
          <w:lang w:val="es-CL"/>
        </w:rPr>
        <w:t xml:space="preserve">El ejecutivo destacó que el Grupo mantiene </w:t>
      </w:r>
      <w:r w:rsidR="002A3CC5" w:rsidRPr="00474658">
        <w:rPr>
          <w:rFonts w:asciiTheme="majorHAnsi" w:hAnsiTheme="majorHAnsi" w:cstheme="majorHAnsi"/>
          <w:lang w:val="es-CL"/>
        </w:rPr>
        <w:t xml:space="preserve">el </w:t>
      </w:r>
      <w:r w:rsidRPr="00474658">
        <w:rPr>
          <w:rFonts w:asciiTheme="majorHAnsi" w:hAnsiTheme="majorHAnsi" w:cstheme="majorHAnsi"/>
        </w:rPr>
        <w:t xml:space="preserve">sólido desempeño en seguridad </w:t>
      </w:r>
      <w:r w:rsidR="002A3CC5" w:rsidRPr="00474658">
        <w:rPr>
          <w:rFonts w:asciiTheme="majorHAnsi" w:hAnsiTheme="majorHAnsi" w:cstheme="majorHAnsi"/>
        </w:rPr>
        <w:t>alcanzado</w:t>
      </w:r>
      <w:r w:rsidRPr="00474658">
        <w:rPr>
          <w:rFonts w:asciiTheme="majorHAnsi" w:hAnsiTheme="majorHAnsi" w:cstheme="majorHAnsi"/>
        </w:rPr>
        <w:t xml:space="preserve"> en 2024, sin accidente fatales y con una baja tasa de accidentes graves. </w:t>
      </w:r>
      <w:r w:rsidR="002A3CC5" w:rsidRPr="00474658">
        <w:rPr>
          <w:rFonts w:asciiTheme="majorHAnsi" w:hAnsiTheme="majorHAnsi" w:cstheme="majorHAnsi"/>
        </w:rPr>
        <w:t>Además, recalcó el buen desarrollo de los proyectos de inversión: l</w:t>
      </w:r>
      <w:r w:rsidR="002A3CC5" w:rsidRPr="00474658">
        <w:rPr>
          <w:rFonts w:asciiTheme="majorHAnsi" w:hAnsiTheme="majorHAnsi" w:cstheme="majorHAnsi"/>
          <w:lang w:val="es-CL"/>
        </w:rPr>
        <w:t xml:space="preserve">a construcción de Nueva Centinela está avanzando más rápido de lo esperado, mientras que en Los Pelambres </w:t>
      </w:r>
      <w:r w:rsidR="002A3CC5" w:rsidRPr="00474658">
        <w:rPr>
          <w:rFonts w:asciiTheme="majorHAnsi" w:hAnsiTheme="majorHAnsi" w:cstheme="majorHAnsi"/>
          <w:lang w:val="es-CL"/>
        </w:rPr>
        <w:t xml:space="preserve">ya se iniciaron las primeras obras para </w:t>
      </w:r>
      <w:r w:rsidR="002A3CC5" w:rsidRPr="00474658">
        <w:rPr>
          <w:rFonts w:asciiTheme="majorHAnsi" w:hAnsiTheme="majorHAnsi" w:cstheme="majorHAnsi"/>
          <w:lang w:val="es-CL"/>
        </w:rPr>
        <w:t xml:space="preserve">duplicar la capacidad de </w:t>
      </w:r>
      <w:r w:rsidR="002A3CC5" w:rsidRPr="00474658">
        <w:rPr>
          <w:rFonts w:asciiTheme="majorHAnsi" w:hAnsiTheme="majorHAnsi" w:cstheme="majorHAnsi"/>
          <w:lang w:val="es-CL"/>
        </w:rPr>
        <w:t>su</w:t>
      </w:r>
      <w:r w:rsidR="002A3CC5" w:rsidRPr="00474658">
        <w:rPr>
          <w:rFonts w:asciiTheme="majorHAnsi" w:hAnsiTheme="majorHAnsi" w:cstheme="majorHAnsi"/>
          <w:lang w:val="es-CL"/>
        </w:rPr>
        <w:t xml:space="preserve"> planta desalinizador</w:t>
      </w:r>
      <w:r w:rsidR="002A3CC5" w:rsidRPr="00474658">
        <w:rPr>
          <w:rFonts w:asciiTheme="majorHAnsi" w:hAnsiTheme="majorHAnsi" w:cstheme="majorHAnsi"/>
          <w:lang w:val="es-CL"/>
        </w:rPr>
        <w:t>a</w:t>
      </w:r>
      <w:r w:rsidR="002A3CC5" w:rsidRPr="00474658">
        <w:rPr>
          <w:rFonts w:asciiTheme="majorHAnsi" w:hAnsiTheme="majorHAnsi" w:cstheme="majorHAnsi"/>
          <w:lang w:val="es-CL"/>
        </w:rPr>
        <w:t xml:space="preserve"> a 800 litros por segundo </w:t>
      </w:r>
      <w:r w:rsidR="002A3CC5" w:rsidRPr="00474658">
        <w:rPr>
          <w:rFonts w:asciiTheme="majorHAnsi" w:hAnsiTheme="majorHAnsi" w:cstheme="majorHAnsi"/>
          <w:lang w:val="es-CL"/>
        </w:rPr>
        <w:t xml:space="preserve">y para construir </w:t>
      </w:r>
      <w:r w:rsidR="002A3CC5" w:rsidRPr="00474658">
        <w:rPr>
          <w:rFonts w:asciiTheme="majorHAnsi" w:hAnsiTheme="majorHAnsi" w:cstheme="majorHAnsi"/>
          <w:lang w:val="es-CL"/>
        </w:rPr>
        <w:t xml:space="preserve">un nuevo </w:t>
      </w:r>
      <w:r w:rsidR="002A3CC5" w:rsidRPr="00474658">
        <w:rPr>
          <w:rFonts w:asciiTheme="majorHAnsi" w:hAnsiTheme="majorHAnsi" w:cstheme="majorHAnsi"/>
          <w:lang w:val="es-CL"/>
        </w:rPr>
        <w:t>sistema de transporte de concentrado</w:t>
      </w:r>
      <w:r w:rsidR="002A3CC5" w:rsidRPr="00474658">
        <w:rPr>
          <w:rFonts w:asciiTheme="majorHAnsi" w:hAnsiTheme="majorHAnsi" w:cstheme="majorHAnsi"/>
          <w:lang w:val="es-CL"/>
        </w:rPr>
        <w:t>.</w:t>
      </w:r>
    </w:p>
    <w:p w14:paraId="6DAC79B0" w14:textId="108D8690" w:rsidR="00474658" w:rsidRPr="00474658" w:rsidRDefault="00474658" w:rsidP="00474658">
      <w:pPr>
        <w:shd w:val="clear" w:color="auto" w:fill="FDFDFD"/>
        <w:spacing w:before="120"/>
        <w:ind w:right="191"/>
        <w:rPr>
          <w:rFonts w:asciiTheme="majorHAnsi" w:hAnsiTheme="majorHAnsi" w:cstheme="majorHAnsi"/>
          <w:lang w:val="es-CL"/>
        </w:rPr>
      </w:pPr>
      <w:r w:rsidRPr="00474658">
        <w:rPr>
          <w:rFonts w:asciiTheme="majorHAnsi" w:hAnsiTheme="majorHAnsi" w:cstheme="majorHAnsi"/>
        </w:rPr>
        <w:t>“</w:t>
      </w:r>
      <w:r>
        <w:rPr>
          <w:rFonts w:asciiTheme="majorHAnsi" w:hAnsiTheme="majorHAnsi" w:cstheme="majorHAnsi"/>
        </w:rPr>
        <w:t>A</w:t>
      </w:r>
      <w:r w:rsidRPr="00474658">
        <w:rPr>
          <w:rFonts w:asciiTheme="majorHAnsi" w:hAnsiTheme="majorHAnsi" w:cstheme="majorHAnsi"/>
        </w:rPr>
        <w:t xml:space="preserve"> través de nuestra inversión constante a lo largo del ciclo de las materias primas, </w:t>
      </w:r>
      <w:r>
        <w:rPr>
          <w:rFonts w:asciiTheme="majorHAnsi" w:hAnsiTheme="majorHAnsi" w:cstheme="majorHAnsi"/>
        </w:rPr>
        <w:t xml:space="preserve">en Antofagasta Minerals </w:t>
      </w:r>
      <w:r w:rsidRPr="00474658">
        <w:rPr>
          <w:rFonts w:asciiTheme="majorHAnsi" w:hAnsiTheme="majorHAnsi" w:cstheme="majorHAnsi"/>
        </w:rPr>
        <w:t>hemos logrado crec</w:t>
      </w:r>
      <w:r>
        <w:rPr>
          <w:rFonts w:asciiTheme="majorHAnsi" w:hAnsiTheme="majorHAnsi" w:cstheme="majorHAnsi"/>
        </w:rPr>
        <w:t>er</w:t>
      </w:r>
      <w:r w:rsidRPr="00474658">
        <w:rPr>
          <w:rFonts w:asciiTheme="majorHAnsi" w:hAnsiTheme="majorHAnsi" w:cstheme="majorHAnsi"/>
        </w:rPr>
        <w:t xml:space="preserve"> y </w:t>
      </w:r>
      <w:r>
        <w:rPr>
          <w:rFonts w:asciiTheme="majorHAnsi" w:hAnsiTheme="majorHAnsi" w:cstheme="majorHAnsi"/>
        </w:rPr>
        <w:t>contar con</w:t>
      </w:r>
      <w:r w:rsidRPr="00474658">
        <w:rPr>
          <w:rFonts w:asciiTheme="majorHAnsi" w:hAnsiTheme="majorHAnsi" w:cstheme="majorHAnsi"/>
        </w:rPr>
        <w:t xml:space="preserve"> un portafolio de operaciones de alta calidad y larga </w:t>
      </w:r>
      <w:r w:rsidRPr="00474658">
        <w:rPr>
          <w:rFonts w:asciiTheme="majorHAnsi" w:hAnsiTheme="majorHAnsi" w:cstheme="majorHAnsi"/>
        </w:rPr>
        <w:lastRenderedPageBreak/>
        <w:t>duración</w:t>
      </w:r>
      <w:r>
        <w:rPr>
          <w:rFonts w:asciiTheme="majorHAnsi" w:hAnsiTheme="majorHAnsi" w:cstheme="majorHAnsi"/>
        </w:rPr>
        <w:t>. L</w:t>
      </w:r>
      <w:r w:rsidRPr="00474658">
        <w:rPr>
          <w:rFonts w:asciiTheme="majorHAnsi" w:hAnsiTheme="majorHAnsi" w:cstheme="majorHAnsi"/>
        </w:rPr>
        <w:t xml:space="preserve">as inversiones </w:t>
      </w:r>
      <w:r>
        <w:rPr>
          <w:rFonts w:asciiTheme="majorHAnsi" w:hAnsiTheme="majorHAnsi" w:cstheme="majorHAnsi"/>
        </w:rPr>
        <w:t xml:space="preserve">que estamos impulsando ahora </w:t>
      </w:r>
      <w:r w:rsidRPr="00474658">
        <w:rPr>
          <w:rFonts w:asciiTheme="majorHAnsi" w:hAnsiTheme="majorHAnsi" w:cstheme="majorHAnsi"/>
        </w:rPr>
        <w:t>agregarán crecimiento y seguridad a largo plazo para el futuro de nuestra producción, en un momento en que existe un reconocimiento claro y generalizado del papel fundamental del cobre en la transición energética”, co</w:t>
      </w:r>
      <w:r>
        <w:rPr>
          <w:rFonts w:asciiTheme="majorHAnsi" w:hAnsiTheme="majorHAnsi" w:cstheme="majorHAnsi"/>
        </w:rPr>
        <w:t>ncluyó Iván Arriagada</w:t>
      </w:r>
      <w:r w:rsidRPr="00474658">
        <w:rPr>
          <w:rFonts w:asciiTheme="majorHAnsi" w:hAnsiTheme="majorHAnsi" w:cstheme="majorHAnsi"/>
        </w:rPr>
        <w:t xml:space="preserve">. </w:t>
      </w:r>
    </w:p>
    <w:p w14:paraId="1DF80E6E" w14:textId="3E547C9E" w:rsidR="00080251" w:rsidRPr="00474658" w:rsidRDefault="00AE58FC" w:rsidP="009654AB">
      <w:pPr>
        <w:shd w:val="clear" w:color="auto" w:fill="FDFDFD"/>
        <w:spacing w:before="120"/>
        <w:ind w:right="191"/>
        <w:rPr>
          <w:rFonts w:asciiTheme="majorHAnsi" w:hAnsiTheme="majorHAnsi" w:cstheme="majorHAnsi"/>
        </w:rPr>
      </w:pPr>
      <w:r w:rsidRPr="00474658">
        <w:rPr>
          <w:rFonts w:asciiTheme="majorHAnsi" w:hAnsiTheme="majorHAnsi" w:cstheme="majorHAnsi"/>
          <w:lang w:val="es-CL"/>
        </w:rPr>
        <w:t xml:space="preserve">    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922"/>
        <w:gridCol w:w="1067"/>
        <w:gridCol w:w="954"/>
        <w:gridCol w:w="954"/>
        <w:gridCol w:w="978"/>
        <w:gridCol w:w="954"/>
        <w:gridCol w:w="954"/>
        <w:gridCol w:w="856"/>
      </w:tblGrid>
      <w:tr w:rsidR="0014537B" w:rsidRPr="00474658" w14:paraId="2E06681B" w14:textId="77777777" w:rsidTr="009654AB">
        <w:trPr>
          <w:trHeight w:val="315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B3BCADD" w14:textId="77777777" w:rsidR="0014537B" w:rsidRPr="00474658" w:rsidRDefault="0014537B" w:rsidP="00474658">
            <w:pPr>
              <w:ind w:right="191"/>
              <w:rPr>
                <w:rFonts w:asciiTheme="majorHAnsi" w:hAnsiTheme="majorHAnsi" w:cstheme="majorHAnsi"/>
                <w:b/>
                <w:bCs/>
                <w:color w:val="FFFFFF"/>
                <w:lang w:val="en-GB" w:eastAsia="en-US"/>
              </w:rPr>
            </w:pPr>
            <w:r w:rsidRPr="00474658">
              <w:rPr>
                <w:rFonts w:asciiTheme="majorHAnsi" w:hAnsiTheme="majorHAnsi" w:cstheme="majorHAnsi"/>
                <w:lang w:val="es-CL"/>
              </w:rPr>
              <w:br w:type="page"/>
            </w:r>
            <w:r w:rsidRPr="00474658">
              <w:rPr>
                <w:rFonts w:asciiTheme="majorHAnsi" w:hAnsiTheme="majorHAnsi" w:cstheme="majorHAnsi"/>
                <w:b/>
                <w:bCs/>
                <w:color w:val="FFFFFF"/>
                <w:lang w:val="en-GB" w:eastAsia="en-US"/>
              </w:rPr>
              <w:t>PRODUCCIÓN Y COSTOS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FE240CB" w14:textId="77777777" w:rsidR="0014537B" w:rsidRPr="00474658" w:rsidRDefault="0014537B" w:rsidP="00474658">
            <w:pPr>
              <w:ind w:right="191"/>
              <w:jc w:val="center"/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</w:pPr>
            <w:r w:rsidRPr="00474658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t>Primer semestre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25DCBB03" w14:textId="77777777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</w:pPr>
            <w:r w:rsidRPr="00474658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t>Q2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1FFF20F5" w14:textId="77777777" w:rsidR="0014537B" w:rsidRPr="00474658" w:rsidRDefault="0014537B" w:rsidP="00474658">
            <w:pPr>
              <w:pStyle w:val="Ttulo6"/>
              <w:ind w:right="191"/>
              <w:rPr>
                <w:rFonts w:asciiTheme="majorHAnsi" w:hAnsiTheme="majorHAnsi" w:cstheme="majorHAnsi"/>
                <w:sz w:val="24"/>
                <w:szCs w:val="24"/>
              </w:rPr>
            </w:pPr>
            <w:r w:rsidRPr="00474658">
              <w:rPr>
                <w:rFonts w:asciiTheme="majorHAnsi" w:hAnsiTheme="majorHAnsi" w:cstheme="majorHAnsi"/>
                <w:sz w:val="24"/>
                <w:szCs w:val="24"/>
              </w:rPr>
              <w:t>Q1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A019B1" w14:textId="77777777" w:rsidR="0014537B" w:rsidRPr="00474658" w:rsidRDefault="0014537B" w:rsidP="00474658">
            <w:pPr>
              <w:ind w:right="191"/>
              <w:rPr>
                <w:rFonts w:asciiTheme="majorHAnsi" w:hAnsiTheme="majorHAnsi" w:cstheme="majorHAnsi"/>
                <w:color w:val="FFFFFF"/>
                <w:lang w:eastAsia="en-US"/>
              </w:rPr>
            </w:pPr>
            <w:r w:rsidRPr="00474658">
              <w:rPr>
                <w:rFonts w:asciiTheme="majorHAnsi" w:hAnsiTheme="majorHAnsi" w:cstheme="majorHAnsi"/>
                <w:color w:val="FFFFFF"/>
                <w:lang w:eastAsia="en-US"/>
              </w:rPr>
              <w:t> </w:t>
            </w:r>
          </w:p>
        </w:tc>
      </w:tr>
      <w:tr w:rsidR="001C08D4" w:rsidRPr="00474658" w14:paraId="04F9EC9D" w14:textId="77777777" w:rsidTr="009654AB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46D48E41" w14:textId="77777777" w:rsidR="0014537B" w:rsidRPr="00474658" w:rsidRDefault="0014537B" w:rsidP="00474658">
            <w:pPr>
              <w:ind w:right="191"/>
              <w:rPr>
                <w:rFonts w:asciiTheme="majorHAnsi" w:hAnsiTheme="majorHAnsi" w:cstheme="majorHAnsi"/>
                <w:color w:val="FFFFFF"/>
                <w:lang w:eastAsia="en-US"/>
              </w:rPr>
            </w:pPr>
            <w:r w:rsidRPr="00474658">
              <w:rPr>
                <w:rFonts w:asciiTheme="majorHAnsi" w:hAnsiTheme="majorHAnsi" w:cstheme="majorHAnsi"/>
                <w:color w:val="FFFFFF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362212A" w14:textId="77777777" w:rsidR="0014537B" w:rsidRPr="00474658" w:rsidRDefault="0014537B" w:rsidP="00474658">
            <w:pPr>
              <w:ind w:right="191"/>
              <w:rPr>
                <w:rFonts w:asciiTheme="majorHAnsi" w:hAnsiTheme="majorHAnsi" w:cstheme="majorHAnsi"/>
                <w:color w:val="FFFFFF"/>
                <w:lang w:eastAsia="en-US"/>
              </w:rPr>
            </w:pPr>
            <w:r w:rsidRPr="00474658">
              <w:rPr>
                <w:rFonts w:asciiTheme="majorHAnsi" w:hAnsiTheme="majorHAnsi" w:cstheme="majorHAnsi"/>
                <w:color w:val="FFFFFF"/>
                <w:lang w:eastAsia="en-US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469F2206" w14:textId="1A16C4E0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</w:pPr>
            <w:r w:rsidRPr="00474658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t>202</w:t>
            </w:r>
            <w:r w:rsidR="00AE58FC" w:rsidRPr="00474658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61E90AE2" w14:textId="778AA608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color w:val="FFFFFF"/>
                <w:lang w:eastAsia="en-US"/>
              </w:rPr>
            </w:pPr>
            <w:r w:rsidRPr="00474658">
              <w:rPr>
                <w:rFonts w:asciiTheme="majorHAnsi" w:hAnsiTheme="majorHAnsi" w:cstheme="majorHAnsi"/>
                <w:color w:val="FFFFFF"/>
                <w:lang w:eastAsia="en-US"/>
              </w:rPr>
              <w:t>202</w:t>
            </w:r>
            <w:r w:rsidR="00AE58FC" w:rsidRPr="00474658">
              <w:rPr>
                <w:rFonts w:asciiTheme="majorHAnsi" w:hAnsiTheme="majorHAnsi" w:cstheme="majorHAnsi"/>
                <w:color w:val="FFFFFF"/>
                <w:lang w:eastAsia="en-US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4535D9D" w14:textId="77777777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</w:pPr>
            <w:r w:rsidRPr="00474658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4D3B1DE3" w14:textId="22C996B0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</w:pPr>
            <w:r w:rsidRPr="00474658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t>202</w:t>
            </w:r>
            <w:r w:rsidR="00AE58FC" w:rsidRPr="00474658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6FF65CBD" w14:textId="0398B893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color w:val="FFFFFF"/>
                <w:lang w:eastAsia="en-US"/>
              </w:rPr>
            </w:pPr>
            <w:r w:rsidRPr="00474658">
              <w:rPr>
                <w:rFonts w:asciiTheme="majorHAnsi" w:hAnsiTheme="majorHAnsi" w:cstheme="majorHAnsi"/>
                <w:color w:val="FFFFFF"/>
                <w:lang w:eastAsia="en-US"/>
              </w:rPr>
              <w:t>202</w:t>
            </w:r>
            <w:r w:rsidR="00AE58FC" w:rsidRPr="00474658">
              <w:rPr>
                <w:rFonts w:asciiTheme="majorHAnsi" w:hAnsiTheme="majorHAnsi" w:cstheme="majorHAnsi"/>
                <w:color w:val="FFFFFF"/>
                <w:lang w:eastAsia="en-US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509F3E" w14:textId="77777777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</w:pPr>
            <w:r w:rsidRPr="00474658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t>%</w:t>
            </w:r>
          </w:p>
        </w:tc>
      </w:tr>
      <w:tr w:rsidR="001C08D4" w:rsidRPr="00474658" w14:paraId="49FEAAA4" w14:textId="77777777" w:rsidTr="009654AB">
        <w:trPr>
          <w:trHeight w:val="227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6E369" w14:textId="77777777" w:rsidR="0014537B" w:rsidRPr="00474658" w:rsidRDefault="0014537B" w:rsidP="00474658">
            <w:pPr>
              <w:ind w:right="191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474658">
              <w:rPr>
                <w:rFonts w:asciiTheme="majorHAnsi" w:hAnsiTheme="majorHAnsi" w:cstheme="majorHAnsi"/>
                <w:color w:val="000000"/>
              </w:rPr>
              <w:t xml:space="preserve">Producción de cobre </w:t>
            </w:r>
            <w:r w:rsidRPr="00474658">
              <w:rPr>
                <w:rFonts w:asciiTheme="majorHAnsi" w:hAnsiTheme="majorHAnsi" w:cstheme="majorHAnsi"/>
                <w:color w:val="000000"/>
                <w:vertAlign w:val="superscript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23D" w14:textId="20408E5C" w:rsidR="0014537B" w:rsidRPr="00474658" w:rsidRDefault="00474658" w:rsidP="00474658">
            <w:pPr>
              <w:ind w:right="191"/>
              <w:rPr>
                <w:rFonts w:asciiTheme="majorHAnsi" w:hAnsiTheme="majorHAnsi" w:cstheme="majorHAnsi"/>
                <w:color w:val="000000"/>
                <w:lang w:eastAsia="en-US"/>
              </w:rPr>
            </w:pPr>
            <w:proofErr w:type="spellStart"/>
            <w:r w:rsidRPr="00474658">
              <w:rPr>
                <w:rFonts w:asciiTheme="majorHAnsi" w:hAnsiTheme="majorHAnsi" w:cstheme="majorHAnsi"/>
                <w:color w:val="000000"/>
                <w:lang w:eastAsia="en-US"/>
              </w:rPr>
              <w:t>K</w:t>
            </w:r>
            <w:r w:rsidR="0014537B" w:rsidRPr="00474658">
              <w:rPr>
                <w:rFonts w:asciiTheme="majorHAnsi" w:hAnsiTheme="majorHAnsi" w:cstheme="majorHAnsi"/>
                <w:color w:val="000000"/>
                <w:lang w:eastAsia="en-US"/>
              </w:rPr>
              <w:t>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2054569D" w14:textId="263F286C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2</w:t>
            </w:r>
            <w:r w:rsidR="001C08D4" w:rsidRPr="00474658">
              <w:rPr>
                <w:rFonts w:asciiTheme="majorHAnsi" w:hAnsiTheme="majorHAnsi" w:cstheme="majorHAnsi"/>
              </w:rPr>
              <w:t>84</w:t>
            </w:r>
            <w:r w:rsidRPr="00474658">
              <w:rPr>
                <w:rFonts w:asciiTheme="majorHAnsi" w:hAnsiTheme="majorHAnsi" w:cstheme="majorHAnsi"/>
              </w:rPr>
              <w:t>,</w:t>
            </w:r>
            <w:r w:rsidR="001C08D4" w:rsidRPr="00474658">
              <w:rPr>
                <w:rFonts w:asciiTheme="majorHAnsi" w:hAnsiTheme="majorHAnsi" w:cstheme="majorHAnsi"/>
              </w:rPr>
              <w:t>7</w:t>
            </w:r>
            <w:r w:rsidRPr="0047465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B9774" w14:textId="7391B3E8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2</w:t>
            </w:r>
            <w:r w:rsidR="001C08D4" w:rsidRPr="00474658">
              <w:rPr>
                <w:rFonts w:asciiTheme="majorHAnsi" w:hAnsiTheme="majorHAnsi" w:cstheme="majorHAnsi"/>
              </w:rPr>
              <w:t>95</w:t>
            </w:r>
            <w:r w:rsidRPr="00474658">
              <w:rPr>
                <w:rFonts w:asciiTheme="majorHAnsi" w:hAnsiTheme="majorHAnsi" w:cstheme="majorHAnsi"/>
              </w:rPr>
              <w:t>,</w:t>
            </w:r>
            <w:r w:rsidR="001C08D4" w:rsidRPr="00474658">
              <w:rPr>
                <w:rFonts w:asciiTheme="majorHAnsi" w:hAnsiTheme="majorHAnsi" w:cstheme="majorHAnsi"/>
              </w:rPr>
              <w:t>5</w:t>
            </w:r>
            <w:r w:rsidRPr="0047465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E35DA" w14:textId="5D931AF8" w:rsidR="0014537B" w:rsidRPr="00474658" w:rsidRDefault="001C08D4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(3</w:t>
            </w:r>
            <w:r w:rsidR="0014537B" w:rsidRPr="00474658">
              <w:rPr>
                <w:rFonts w:asciiTheme="majorHAnsi" w:hAnsiTheme="majorHAnsi" w:cstheme="majorHAnsi"/>
              </w:rPr>
              <w:t>,</w:t>
            </w:r>
            <w:r w:rsidRPr="00474658">
              <w:rPr>
                <w:rFonts w:asciiTheme="majorHAnsi" w:hAnsiTheme="majorHAnsi" w:cstheme="majorHAnsi"/>
              </w:rPr>
              <w:t>7)</w:t>
            </w:r>
            <w:r w:rsidR="0014537B" w:rsidRPr="0047465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69A4B792" w14:textId="45D45B59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1</w:t>
            </w:r>
            <w:r w:rsidR="001C08D4" w:rsidRPr="00474658">
              <w:rPr>
                <w:rFonts w:asciiTheme="majorHAnsi" w:hAnsiTheme="majorHAnsi" w:cstheme="majorHAnsi"/>
              </w:rPr>
              <w:t>55</w:t>
            </w:r>
            <w:r w:rsidRPr="00474658">
              <w:rPr>
                <w:rFonts w:asciiTheme="majorHAnsi" w:hAnsiTheme="majorHAnsi" w:cstheme="majorHAnsi"/>
              </w:rPr>
              <w:t>,</w:t>
            </w:r>
            <w:r w:rsidR="001C08D4" w:rsidRPr="00474658">
              <w:rPr>
                <w:rFonts w:asciiTheme="majorHAnsi" w:hAnsiTheme="majorHAnsi" w:cstheme="majorHAnsi"/>
              </w:rPr>
              <w:t>3</w:t>
            </w:r>
            <w:r w:rsidRPr="0047465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351E6" w14:textId="4CA877EE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1</w:t>
            </w:r>
            <w:r w:rsidR="001C08D4" w:rsidRPr="00474658">
              <w:rPr>
                <w:rFonts w:asciiTheme="majorHAnsi" w:hAnsiTheme="majorHAnsi" w:cstheme="majorHAnsi"/>
              </w:rPr>
              <w:t>29</w:t>
            </w:r>
            <w:r w:rsidRPr="00474658">
              <w:rPr>
                <w:rFonts w:asciiTheme="majorHAnsi" w:hAnsiTheme="majorHAnsi" w:cstheme="majorHAnsi"/>
              </w:rPr>
              <w:t>,</w:t>
            </w:r>
            <w:r w:rsidR="001C08D4" w:rsidRPr="00474658">
              <w:rPr>
                <w:rFonts w:asciiTheme="majorHAnsi" w:hAnsiTheme="majorHAnsi" w:cstheme="majorHAnsi"/>
              </w:rPr>
              <w:t>4</w:t>
            </w:r>
            <w:r w:rsidRPr="0047465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9DA0B" w14:textId="761B4A5A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2</w:t>
            </w:r>
            <w:r w:rsidR="001C08D4" w:rsidRPr="00474658">
              <w:rPr>
                <w:rFonts w:asciiTheme="majorHAnsi" w:hAnsiTheme="majorHAnsi" w:cstheme="majorHAnsi"/>
              </w:rPr>
              <w:t>0</w:t>
            </w:r>
            <w:r w:rsidRPr="00474658">
              <w:rPr>
                <w:rFonts w:asciiTheme="majorHAnsi" w:hAnsiTheme="majorHAnsi" w:cstheme="majorHAnsi"/>
              </w:rPr>
              <w:t>,</w:t>
            </w:r>
            <w:r w:rsidR="001C08D4" w:rsidRPr="00474658">
              <w:rPr>
                <w:rFonts w:asciiTheme="majorHAnsi" w:hAnsiTheme="majorHAnsi" w:cstheme="majorHAnsi"/>
              </w:rPr>
              <w:t>0</w:t>
            </w:r>
            <w:r w:rsidRPr="0047465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C08D4" w:rsidRPr="00474658" w14:paraId="2F9DF66C" w14:textId="77777777" w:rsidTr="009654AB">
        <w:trPr>
          <w:trHeight w:val="227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53CD4" w14:textId="77777777" w:rsidR="0014537B" w:rsidRPr="00474658" w:rsidRDefault="0014537B" w:rsidP="00474658">
            <w:pPr>
              <w:ind w:right="191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474658">
              <w:rPr>
                <w:rFonts w:asciiTheme="majorHAnsi" w:hAnsiTheme="majorHAnsi" w:cstheme="majorHAnsi"/>
                <w:color w:val="000000"/>
              </w:rPr>
              <w:t>Producción de oro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7664" w14:textId="50B0283C" w:rsidR="0014537B" w:rsidRPr="00474658" w:rsidRDefault="00474658" w:rsidP="00474658">
            <w:pPr>
              <w:ind w:right="191"/>
              <w:rPr>
                <w:rFonts w:asciiTheme="majorHAnsi" w:hAnsiTheme="majorHAnsi" w:cstheme="majorHAnsi"/>
                <w:color w:val="000000"/>
                <w:lang w:eastAsia="en-US"/>
              </w:rPr>
            </w:pPr>
            <w:proofErr w:type="spellStart"/>
            <w:r w:rsidRPr="00474658">
              <w:rPr>
                <w:rFonts w:asciiTheme="majorHAnsi" w:hAnsiTheme="majorHAnsi" w:cstheme="majorHAnsi"/>
                <w:color w:val="000000"/>
                <w:lang w:eastAsia="en-US"/>
              </w:rPr>
              <w:t>K</w:t>
            </w:r>
            <w:r w:rsidR="0014537B" w:rsidRPr="00474658">
              <w:rPr>
                <w:rFonts w:asciiTheme="majorHAnsi" w:hAnsiTheme="majorHAnsi" w:cstheme="majorHAnsi"/>
                <w:color w:val="000000"/>
                <w:lang w:eastAsia="en-US"/>
              </w:rPr>
              <w:t>oz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21D9D151" w14:textId="37EEE04C" w:rsidR="0014537B" w:rsidRPr="00474658" w:rsidRDefault="001C08D4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66</w:t>
            </w:r>
            <w:r w:rsidR="0014537B" w:rsidRPr="00474658">
              <w:rPr>
                <w:rFonts w:asciiTheme="majorHAnsi" w:hAnsiTheme="majorHAnsi" w:cstheme="majorHAnsi"/>
              </w:rPr>
              <w:t>,</w:t>
            </w:r>
            <w:r w:rsidRPr="00474658">
              <w:rPr>
                <w:rFonts w:asciiTheme="majorHAnsi" w:hAnsiTheme="majorHAnsi" w:cstheme="majorHAnsi"/>
              </w:rPr>
              <w:t>9</w:t>
            </w:r>
            <w:r w:rsidR="0014537B" w:rsidRPr="0047465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FD4FC" w14:textId="287FFB2B" w:rsidR="0014537B" w:rsidRPr="00474658" w:rsidRDefault="001C08D4" w:rsidP="00474658">
            <w:pPr>
              <w:ind w:right="191"/>
              <w:jc w:val="right"/>
              <w:rPr>
                <w:rFonts w:asciiTheme="majorHAnsi" w:hAnsiTheme="majorHAnsi" w:cstheme="majorHAnsi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86</w:t>
            </w:r>
            <w:r w:rsidR="0014537B" w:rsidRPr="00474658">
              <w:rPr>
                <w:rFonts w:asciiTheme="majorHAnsi" w:hAnsiTheme="majorHAnsi" w:cstheme="majorHAnsi"/>
              </w:rPr>
              <w:t>,</w:t>
            </w:r>
            <w:r w:rsidRPr="00474658">
              <w:rPr>
                <w:rFonts w:asciiTheme="majorHAnsi" w:hAnsiTheme="majorHAnsi" w:cstheme="majorHAnsi"/>
              </w:rPr>
              <w:t>2</w:t>
            </w:r>
            <w:r w:rsidR="0014537B" w:rsidRPr="0047465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AA91A" w14:textId="357F7708" w:rsidR="0014537B" w:rsidRPr="00474658" w:rsidRDefault="001C08D4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(22</w:t>
            </w:r>
            <w:r w:rsidR="0014537B" w:rsidRPr="00474658">
              <w:rPr>
                <w:rFonts w:asciiTheme="majorHAnsi" w:hAnsiTheme="majorHAnsi" w:cstheme="majorHAnsi"/>
              </w:rPr>
              <w:t>,</w:t>
            </w:r>
            <w:r w:rsidRPr="00474658">
              <w:rPr>
                <w:rFonts w:asciiTheme="majorHAnsi" w:hAnsiTheme="majorHAnsi" w:cstheme="majorHAnsi"/>
              </w:rPr>
              <w:t>4)</w:t>
            </w:r>
            <w:r w:rsidR="0014537B" w:rsidRPr="0047465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1A963752" w14:textId="70B85ECB" w:rsidR="0014537B" w:rsidRPr="00474658" w:rsidRDefault="001C08D4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33</w:t>
            </w:r>
            <w:r w:rsidR="0014537B" w:rsidRPr="00474658">
              <w:rPr>
                <w:rFonts w:asciiTheme="majorHAnsi" w:hAnsiTheme="majorHAnsi" w:cstheme="majorHAnsi"/>
              </w:rPr>
              <w:t>,</w:t>
            </w:r>
            <w:r w:rsidRPr="00474658">
              <w:rPr>
                <w:rFonts w:asciiTheme="majorHAnsi" w:hAnsiTheme="majorHAnsi" w:cstheme="majorHAnsi"/>
              </w:rPr>
              <w:t>6</w:t>
            </w:r>
            <w:r w:rsidR="0014537B" w:rsidRPr="0047465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4F56C" w14:textId="06A98976" w:rsidR="0014537B" w:rsidRPr="00474658" w:rsidRDefault="001C08D4" w:rsidP="00474658">
            <w:pPr>
              <w:ind w:right="191"/>
              <w:jc w:val="right"/>
              <w:rPr>
                <w:rFonts w:asciiTheme="majorHAnsi" w:hAnsiTheme="majorHAnsi" w:cstheme="majorHAnsi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33</w:t>
            </w:r>
            <w:r w:rsidR="0014537B" w:rsidRPr="00474658">
              <w:rPr>
                <w:rFonts w:asciiTheme="majorHAnsi" w:hAnsiTheme="majorHAnsi" w:cstheme="majorHAnsi"/>
              </w:rPr>
              <w:t>,</w:t>
            </w:r>
            <w:r w:rsidRPr="00474658">
              <w:rPr>
                <w:rFonts w:asciiTheme="majorHAnsi" w:hAnsiTheme="majorHAnsi" w:cstheme="majorHAnsi"/>
              </w:rPr>
              <w:t>3</w:t>
            </w:r>
            <w:r w:rsidR="0014537B" w:rsidRPr="0047465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7DF49" w14:textId="35D1DA46" w:rsidR="0014537B" w:rsidRPr="00474658" w:rsidRDefault="001C08D4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0</w:t>
            </w:r>
            <w:r w:rsidR="0014537B" w:rsidRPr="00474658">
              <w:rPr>
                <w:rFonts w:asciiTheme="majorHAnsi" w:hAnsiTheme="majorHAnsi" w:cstheme="majorHAnsi"/>
              </w:rPr>
              <w:t>,</w:t>
            </w:r>
            <w:r w:rsidRPr="00474658">
              <w:rPr>
                <w:rFonts w:asciiTheme="majorHAnsi" w:hAnsiTheme="majorHAnsi" w:cstheme="majorHAnsi"/>
              </w:rPr>
              <w:t>9</w:t>
            </w:r>
            <w:r w:rsidR="0014537B" w:rsidRPr="0047465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C08D4" w:rsidRPr="00474658" w14:paraId="4EECD4EB" w14:textId="77777777" w:rsidTr="009654AB">
        <w:trPr>
          <w:trHeight w:val="227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34D4C" w14:textId="77777777" w:rsidR="0014537B" w:rsidRPr="00474658" w:rsidRDefault="0014537B" w:rsidP="00474658">
            <w:pPr>
              <w:ind w:right="191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474658">
              <w:rPr>
                <w:rFonts w:asciiTheme="majorHAnsi" w:hAnsiTheme="majorHAnsi" w:cstheme="majorHAnsi"/>
                <w:color w:val="000000"/>
              </w:rPr>
              <w:t>Producción de molibdeno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4210" w14:textId="6F03EB53" w:rsidR="0014537B" w:rsidRPr="00474658" w:rsidRDefault="00474658" w:rsidP="00474658">
            <w:pPr>
              <w:ind w:right="191"/>
              <w:rPr>
                <w:rFonts w:asciiTheme="majorHAnsi" w:hAnsiTheme="majorHAnsi" w:cstheme="majorHAnsi"/>
                <w:color w:val="000000"/>
                <w:lang w:eastAsia="en-US"/>
              </w:rPr>
            </w:pPr>
            <w:proofErr w:type="spellStart"/>
            <w:r w:rsidRPr="00474658">
              <w:rPr>
                <w:rFonts w:asciiTheme="majorHAnsi" w:hAnsiTheme="majorHAnsi" w:cstheme="majorHAnsi"/>
                <w:color w:val="000000"/>
                <w:lang w:eastAsia="en-US"/>
              </w:rPr>
              <w:t>K</w:t>
            </w:r>
            <w:r w:rsidR="0014537B" w:rsidRPr="00474658">
              <w:rPr>
                <w:rFonts w:asciiTheme="majorHAnsi" w:hAnsiTheme="majorHAnsi" w:cstheme="majorHAnsi"/>
                <w:color w:val="000000"/>
                <w:lang w:eastAsia="en-US"/>
              </w:rPr>
              <w:t>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D283768" w14:textId="3FD5743F" w:rsidR="0014537B" w:rsidRPr="00474658" w:rsidRDefault="001C08D4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5</w:t>
            </w:r>
            <w:r w:rsidR="0014537B" w:rsidRPr="00474658">
              <w:rPr>
                <w:rFonts w:asciiTheme="majorHAnsi" w:hAnsiTheme="majorHAnsi" w:cstheme="majorHAnsi"/>
              </w:rPr>
              <w:t>,</w:t>
            </w:r>
            <w:r w:rsidRPr="00474658">
              <w:rPr>
                <w:rFonts w:asciiTheme="majorHAnsi" w:hAnsiTheme="majorHAnsi" w:cstheme="majorHAnsi"/>
              </w:rPr>
              <w:t>2</w:t>
            </w:r>
            <w:r w:rsidR="0014537B" w:rsidRPr="0047465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25139" w14:textId="5A39479E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4,</w:t>
            </w:r>
            <w:r w:rsidR="001C08D4" w:rsidRPr="00474658">
              <w:rPr>
                <w:rFonts w:asciiTheme="majorHAnsi" w:hAnsiTheme="majorHAnsi" w:cstheme="majorHAnsi"/>
              </w:rPr>
              <w:t>9</w:t>
            </w:r>
            <w:r w:rsidRPr="0047465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B346" w14:textId="15D9A022" w:rsidR="0014537B" w:rsidRPr="00474658" w:rsidRDefault="001C08D4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6</w:t>
            </w:r>
            <w:r w:rsidR="0014537B" w:rsidRPr="00474658">
              <w:rPr>
                <w:rFonts w:asciiTheme="majorHAnsi" w:hAnsiTheme="majorHAnsi" w:cstheme="majorHAnsi"/>
              </w:rPr>
              <w:t>,</w:t>
            </w:r>
            <w:r w:rsidRPr="00474658">
              <w:rPr>
                <w:rFonts w:asciiTheme="majorHAnsi" w:hAnsiTheme="majorHAnsi" w:cstheme="majorHAnsi"/>
              </w:rPr>
              <w:t>1</w:t>
            </w:r>
            <w:r w:rsidR="0014537B" w:rsidRPr="0047465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AB46DC7" w14:textId="3E857580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2,</w:t>
            </w:r>
            <w:r w:rsidR="001C08D4" w:rsidRPr="00474658">
              <w:rPr>
                <w:rFonts w:asciiTheme="majorHAnsi" w:hAnsiTheme="majorHAnsi" w:cstheme="majorHAnsi"/>
              </w:rPr>
              <w:t>5</w:t>
            </w:r>
            <w:r w:rsidRPr="0047465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453F9" w14:textId="1CD505C9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2,</w:t>
            </w:r>
            <w:r w:rsidR="001C08D4" w:rsidRPr="00474658">
              <w:rPr>
                <w:rFonts w:asciiTheme="majorHAnsi" w:hAnsiTheme="majorHAnsi" w:cstheme="majorHAnsi"/>
              </w:rPr>
              <w:t>7</w:t>
            </w:r>
            <w:r w:rsidRPr="0047465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216C" w14:textId="118633C2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(</w:t>
            </w:r>
            <w:r w:rsidR="001C08D4" w:rsidRPr="00474658">
              <w:rPr>
                <w:rFonts w:asciiTheme="majorHAnsi" w:hAnsiTheme="majorHAnsi" w:cstheme="majorHAnsi"/>
              </w:rPr>
              <w:t>7</w:t>
            </w:r>
            <w:r w:rsidRPr="00474658">
              <w:rPr>
                <w:rFonts w:asciiTheme="majorHAnsi" w:hAnsiTheme="majorHAnsi" w:cstheme="majorHAnsi"/>
              </w:rPr>
              <w:t>,</w:t>
            </w:r>
            <w:r w:rsidR="001C08D4" w:rsidRPr="00474658">
              <w:rPr>
                <w:rFonts w:asciiTheme="majorHAnsi" w:hAnsiTheme="majorHAnsi" w:cstheme="majorHAnsi"/>
              </w:rPr>
              <w:t>4</w:t>
            </w:r>
            <w:r w:rsidRPr="00474658">
              <w:rPr>
                <w:rFonts w:asciiTheme="majorHAnsi" w:hAnsiTheme="majorHAnsi" w:cstheme="majorHAnsi"/>
              </w:rPr>
              <w:t>)</w:t>
            </w:r>
          </w:p>
        </w:tc>
      </w:tr>
      <w:tr w:rsidR="001C08D4" w:rsidRPr="00474658" w14:paraId="6E07050E" w14:textId="77777777" w:rsidTr="009654AB">
        <w:trPr>
          <w:trHeight w:val="227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12D69" w14:textId="77777777" w:rsidR="0014537B" w:rsidRPr="00474658" w:rsidRDefault="0014537B" w:rsidP="00474658">
            <w:pPr>
              <w:ind w:right="191"/>
              <w:rPr>
                <w:rFonts w:asciiTheme="majorHAnsi" w:hAnsiTheme="majorHAnsi" w:cstheme="majorHAnsi"/>
                <w:color w:val="000000"/>
                <w:lang w:val="es-CL" w:eastAsia="en-US"/>
              </w:rPr>
            </w:pPr>
            <w:r w:rsidRPr="00474658">
              <w:rPr>
                <w:rFonts w:asciiTheme="majorHAnsi" w:hAnsiTheme="majorHAnsi" w:cstheme="majorHAnsi"/>
                <w:color w:val="000000"/>
                <w:lang w:val="es-CL"/>
              </w:rPr>
              <w:t>Costo neto antes del crédito por subproductos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0BFC" w14:textId="77777777" w:rsidR="0014537B" w:rsidRPr="00474658" w:rsidRDefault="0014537B" w:rsidP="00474658">
            <w:pPr>
              <w:ind w:right="191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474658">
              <w:rPr>
                <w:rFonts w:asciiTheme="majorHAnsi" w:hAnsiTheme="majorHAnsi" w:cstheme="majorHAnsi"/>
                <w:color w:val="000000"/>
                <w:lang w:eastAsia="en-US"/>
              </w:rPr>
              <w:t>US$/lb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01607953" w14:textId="299D5F47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2,</w:t>
            </w:r>
            <w:r w:rsidR="001C08D4" w:rsidRPr="00474658">
              <w:rPr>
                <w:rFonts w:asciiTheme="majorHAnsi" w:hAnsiTheme="majorHAnsi" w:cstheme="majorHAnsi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B1029" w14:textId="182A6280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2,</w:t>
            </w:r>
            <w:r w:rsidR="001C08D4" w:rsidRPr="00474658"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7D8C6" w14:textId="6592AD7D" w:rsidR="0014537B" w:rsidRPr="00474658" w:rsidRDefault="001C08D4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6</w:t>
            </w:r>
            <w:r w:rsidR="0014537B" w:rsidRPr="00474658">
              <w:rPr>
                <w:rFonts w:asciiTheme="majorHAnsi" w:hAnsiTheme="majorHAnsi" w:cstheme="majorHAnsi"/>
              </w:rPr>
              <w:t>,</w:t>
            </w:r>
            <w:r w:rsidRPr="00474658">
              <w:rPr>
                <w:rFonts w:asciiTheme="majorHAnsi" w:hAnsiTheme="majorHAnsi" w:cstheme="majorHAnsi"/>
              </w:rPr>
              <w:t>9</w:t>
            </w:r>
            <w:r w:rsidR="0014537B" w:rsidRPr="0047465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59540E40" w14:textId="236E91DC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2,</w:t>
            </w:r>
            <w:r w:rsidR="001C08D4" w:rsidRPr="00474658">
              <w:rPr>
                <w:rFonts w:asciiTheme="majorHAnsi" w:hAnsiTheme="majorHAnsi" w:cstheme="majorHAnsi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3A3CA" w14:textId="165F6346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2,</w:t>
            </w:r>
            <w:r w:rsidR="001C08D4" w:rsidRPr="00474658">
              <w:rPr>
                <w:rFonts w:asciiTheme="majorHAnsi" w:hAnsiTheme="majorHAnsi" w:cstheme="majorHAnsi"/>
              </w:rPr>
              <w:t>67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F3D7E" w14:textId="27BEFA40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(</w:t>
            </w:r>
            <w:r w:rsidR="001C08D4" w:rsidRPr="00474658">
              <w:rPr>
                <w:rFonts w:asciiTheme="majorHAnsi" w:hAnsiTheme="majorHAnsi" w:cstheme="majorHAnsi"/>
              </w:rPr>
              <w:t>1</w:t>
            </w:r>
            <w:r w:rsidRPr="00474658">
              <w:rPr>
                <w:rFonts w:asciiTheme="majorHAnsi" w:hAnsiTheme="majorHAnsi" w:cstheme="majorHAnsi"/>
              </w:rPr>
              <w:t>,</w:t>
            </w:r>
            <w:r w:rsidR="001C08D4" w:rsidRPr="00474658">
              <w:rPr>
                <w:rFonts w:asciiTheme="majorHAnsi" w:hAnsiTheme="majorHAnsi" w:cstheme="majorHAnsi"/>
              </w:rPr>
              <w:t>5</w:t>
            </w:r>
            <w:r w:rsidRPr="00474658">
              <w:rPr>
                <w:rFonts w:asciiTheme="majorHAnsi" w:hAnsiTheme="majorHAnsi" w:cstheme="majorHAnsi"/>
              </w:rPr>
              <w:t>)</w:t>
            </w:r>
          </w:p>
        </w:tc>
      </w:tr>
      <w:tr w:rsidR="001C08D4" w:rsidRPr="00474658" w14:paraId="47AC866A" w14:textId="77777777" w:rsidTr="009654AB">
        <w:trPr>
          <w:trHeight w:val="227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9D4B6" w14:textId="77777777" w:rsidR="0014537B" w:rsidRPr="00474658" w:rsidRDefault="0014537B" w:rsidP="00474658">
            <w:pPr>
              <w:ind w:right="191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474658">
              <w:rPr>
                <w:rFonts w:asciiTheme="majorHAnsi" w:hAnsiTheme="majorHAnsi" w:cstheme="majorHAnsi"/>
                <w:color w:val="000000"/>
                <w:lang w:val="en-GB"/>
              </w:rPr>
              <w:t xml:space="preserve">Costo </w:t>
            </w:r>
            <w:proofErr w:type="spellStart"/>
            <w:r w:rsidRPr="00474658">
              <w:rPr>
                <w:rFonts w:asciiTheme="majorHAnsi" w:hAnsiTheme="majorHAnsi" w:cstheme="majorHAnsi"/>
                <w:color w:val="000000"/>
                <w:lang w:val="en-GB"/>
              </w:rPr>
              <w:t>neto</w:t>
            </w:r>
            <w:proofErr w:type="spellEnd"/>
            <w:r w:rsidRPr="00474658">
              <w:rPr>
                <w:rFonts w:asciiTheme="majorHAnsi" w:hAnsiTheme="majorHAnsi" w:cstheme="majorHAnsi"/>
                <w:color w:val="000000"/>
                <w:lang w:val="en-GB"/>
              </w:rPr>
              <w:t xml:space="preserve"> de </w:t>
            </w:r>
            <w:proofErr w:type="spellStart"/>
            <w:r w:rsidRPr="00474658">
              <w:rPr>
                <w:rFonts w:asciiTheme="majorHAnsi" w:hAnsiTheme="majorHAnsi" w:cstheme="majorHAnsi"/>
                <w:color w:val="000000"/>
                <w:lang w:val="en-GB"/>
              </w:rPr>
              <w:t>caja</w:t>
            </w:r>
            <w:proofErr w:type="spellEnd"/>
            <w:r w:rsidRPr="00474658">
              <w:rPr>
                <w:rFonts w:asciiTheme="majorHAnsi" w:hAnsiTheme="majorHAnsi" w:cstheme="majorHAnsi"/>
                <w:color w:val="000000"/>
                <w:lang w:val="en-GB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0FDF" w14:textId="77777777" w:rsidR="0014537B" w:rsidRPr="00474658" w:rsidRDefault="0014537B" w:rsidP="00474658">
            <w:pPr>
              <w:ind w:right="191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474658">
              <w:rPr>
                <w:rFonts w:asciiTheme="majorHAnsi" w:hAnsiTheme="majorHAnsi" w:cstheme="majorHAnsi"/>
                <w:color w:val="000000"/>
                <w:lang w:eastAsia="en-US"/>
              </w:rPr>
              <w:t>US$/lb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C67E256" w14:textId="50E21461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1,</w:t>
            </w:r>
            <w:r w:rsidR="001C08D4" w:rsidRPr="00474658"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2CEB0" w14:textId="42B5FECD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1,</w:t>
            </w:r>
            <w:r w:rsidR="001C08D4" w:rsidRPr="00474658">
              <w:rPr>
                <w:rFonts w:asciiTheme="majorHAnsi" w:hAnsiTheme="majorHAnsi" w:cstheme="majorHAnsi"/>
              </w:rPr>
              <w:t>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20CA" w14:textId="2CF7960C" w:rsidR="0014537B" w:rsidRPr="00474658" w:rsidRDefault="001C08D4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10</w:t>
            </w:r>
            <w:r w:rsidR="0014537B" w:rsidRPr="00474658">
              <w:rPr>
                <w:rFonts w:asciiTheme="majorHAnsi" w:hAnsiTheme="majorHAnsi" w:cstheme="majorHAnsi"/>
              </w:rPr>
              <w:t>,</w:t>
            </w:r>
            <w:r w:rsidRPr="00474658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71699C1" w14:textId="7BB9121E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1,9</w:t>
            </w:r>
            <w:r w:rsidR="001C08D4" w:rsidRPr="0047465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5800B" w14:textId="03B3090C" w:rsidR="0014537B" w:rsidRPr="00474658" w:rsidRDefault="0014537B" w:rsidP="00474658">
            <w:pPr>
              <w:ind w:right="191"/>
              <w:jc w:val="right"/>
              <w:rPr>
                <w:rFonts w:asciiTheme="majorHAnsi" w:hAnsiTheme="majorHAnsi" w:cstheme="majorHAnsi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1,</w:t>
            </w:r>
            <w:r w:rsidR="001C08D4" w:rsidRPr="00474658">
              <w:rPr>
                <w:rFonts w:asciiTheme="majorHAnsi" w:hAnsiTheme="majorHAnsi" w:cstheme="majorHAnsi"/>
              </w:rPr>
              <w:t>93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FFD7" w14:textId="3BFE3494" w:rsidR="0014537B" w:rsidRPr="00474658" w:rsidRDefault="001C08D4" w:rsidP="00474658">
            <w:pPr>
              <w:ind w:right="191"/>
              <w:jc w:val="right"/>
              <w:rPr>
                <w:rFonts w:asciiTheme="majorHAnsi" w:hAnsiTheme="majorHAnsi" w:cstheme="majorHAnsi"/>
                <w:color w:val="FF0000"/>
                <w:highlight w:val="yellow"/>
                <w:lang w:eastAsia="en-US"/>
              </w:rPr>
            </w:pPr>
            <w:r w:rsidRPr="00474658">
              <w:rPr>
                <w:rFonts w:asciiTheme="majorHAnsi" w:hAnsiTheme="majorHAnsi" w:cstheme="majorHAnsi"/>
              </w:rPr>
              <w:t>0</w:t>
            </w:r>
            <w:r w:rsidR="0014537B" w:rsidRPr="00474658">
              <w:rPr>
                <w:rFonts w:asciiTheme="majorHAnsi" w:hAnsiTheme="majorHAnsi" w:cstheme="majorHAnsi"/>
              </w:rPr>
              <w:t>,</w:t>
            </w:r>
            <w:r w:rsidRPr="00474658">
              <w:rPr>
                <w:rFonts w:asciiTheme="majorHAnsi" w:hAnsiTheme="majorHAnsi" w:cstheme="majorHAnsi"/>
              </w:rPr>
              <w:t>5</w:t>
            </w:r>
            <w:r w:rsidR="0014537B" w:rsidRPr="00474658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26C052F8" w14:textId="77777777" w:rsidR="0014537B" w:rsidRPr="00474658" w:rsidRDefault="0014537B" w:rsidP="00474658">
      <w:pPr>
        <w:spacing w:after="120"/>
        <w:ind w:right="191"/>
        <w:jc w:val="both"/>
        <w:rPr>
          <w:rFonts w:asciiTheme="majorHAnsi" w:hAnsiTheme="majorHAnsi" w:cstheme="majorHAnsi"/>
        </w:rPr>
      </w:pPr>
    </w:p>
    <w:p w14:paraId="0BBD5F40" w14:textId="77777777" w:rsidR="0014537B" w:rsidRPr="00474658" w:rsidRDefault="0014537B" w:rsidP="00474658">
      <w:pPr>
        <w:ind w:right="191"/>
        <w:jc w:val="center"/>
        <w:rPr>
          <w:rFonts w:asciiTheme="majorHAnsi" w:hAnsiTheme="majorHAnsi" w:cstheme="majorHAnsi"/>
          <w:b/>
          <w:lang w:val="es-CL"/>
        </w:rPr>
      </w:pPr>
      <w:r w:rsidRPr="00474658">
        <w:rPr>
          <w:rFonts w:asciiTheme="majorHAnsi" w:hAnsiTheme="majorHAnsi" w:cstheme="majorHAnsi"/>
          <w:b/>
          <w:lang w:val="es-CL"/>
        </w:rPr>
        <w:t>GERENCIA DE COMUNICACIONES</w:t>
      </w:r>
    </w:p>
    <w:sectPr w:rsidR="0014537B" w:rsidRPr="00474658" w:rsidSect="006F5EA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05" w:right="1134" w:bottom="1134" w:left="1134" w:header="426" w:footer="1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4F981" w14:textId="77777777" w:rsidR="00925BB2" w:rsidRDefault="00925BB2" w:rsidP="00242EE2">
      <w:r>
        <w:separator/>
      </w:r>
    </w:p>
  </w:endnote>
  <w:endnote w:type="continuationSeparator" w:id="0">
    <w:p w14:paraId="215F021F" w14:textId="77777777" w:rsidR="00925BB2" w:rsidRDefault="00925BB2" w:rsidP="0024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E6FCA" w14:textId="77777777" w:rsidR="00D5484F" w:rsidRDefault="009654AB">
    <w:pPr>
      <w:pStyle w:val="Piedepgina"/>
    </w:pPr>
    <w:sdt>
      <w:sdtPr>
        <w:id w:val="864954350"/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  <w:r w:rsidR="00D5484F">
      <w:ptab w:relativeTo="margin" w:alignment="center" w:leader="none"/>
    </w:r>
    <w:sdt>
      <w:sdtPr>
        <w:id w:val="869498041"/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  <w:r w:rsidR="00D5484F">
      <w:ptab w:relativeTo="margin" w:alignment="right" w:leader="none"/>
    </w:r>
    <w:sdt>
      <w:sdtPr>
        <w:id w:val="586508866"/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A3A7C" w14:textId="77777777" w:rsidR="00D5484F" w:rsidRDefault="00D5484F" w:rsidP="009D1750">
    <w:pPr>
      <w:pStyle w:val="Piedepgina"/>
      <w:ind w:left="-1701" w:firstLine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46A2B" w14:textId="77777777" w:rsidR="00925BB2" w:rsidRDefault="00925BB2" w:rsidP="00242EE2">
      <w:r>
        <w:separator/>
      </w:r>
    </w:p>
  </w:footnote>
  <w:footnote w:type="continuationSeparator" w:id="0">
    <w:p w14:paraId="7E9205E5" w14:textId="77777777" w:rsidR="00925BB2" w:rsidRDefault="00925BB2" w:rsidP="0024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080CD" w14:textId="77777777" w:rsidR="00D5484F" w:rsidRDefault="009654AB">
    <w:pPr>
      <w:pStyle w:val="Encabezado"/>
    </w:pPr>
    <w:sdt>
      <w:sdtPr>
        <w:id w:val="-639726123"/>
        <w:placeholder>
          <w:docPart w:val="DC8B9EF95BD6EE4188FBD660E12A611C"/>
        </w:placeholder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  <w:r w:rsidR="00D5484F">
      <w:ptab w:relativeTo="margin" w:alignment="center" w:leader="none"/>
    </w:r>
    <w:sdt>
      <w:sdtPr>
        <w:id w:val="2030371397"/>
        <w:placeholder>
          <w:docPart w:val="D97AD44C4EC8E6458132BE32CACE2231"/>
        </w:placeholder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  <w:r w:rsidR="00D5484F">
      <w:ptab w:relativeTo="margin" w:alignment="right" w:leader="none"/>
    </w:r>
    <w:sdt>
      <w:sdtPr>
        <w:id w:val="1415207078"/>
        <w:placeholder>
          <w:docPart w:val="E3693006B084AC499F211AC1186E7C2E"/>
        </w:placeholder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</w:p>
  <w:p w14:paraId="4DA9E7D4" w14:textId="77777777" w:rsidR="00D5484F" w:rsidRDefault="00D548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D75AE" w14:textId="77777777" w:rsidR="00D5484F" w:rsidRPr="00242EE2" w:rsidRDefault="00D5484F" w:rsidP="009D1750">
    <w:pPr>
      <w:pStyle w:val="Encabezado"/>
      <w:ind w:left="-1134" w:firstLine="850"/>
    </w:pPr>
    <w:r>
      <w:rPr>
        <w:noProof/>
        <w:lang w:val="es-CL" w:eastAsia="es-CL"/>
      </w:rPr>
      <w:drawing>
        <wp:inline distT="0" distB="0" distL="0" distR="0" wp14:anchorId="1A73D958" wp14:editId="561C0DFA">
          <wp:extent cx="1764275" cy="717764"/>
          <wp:effectExtent l="0" t="0" r="0" b="0"/>
          <wp:docPr id="4" name="Logo_Hoja 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ja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275" cy="71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7394"/>
    <w:multiLevelType w:val="hybridMultilevel"/>
    <w:tmpl w:val="6E4E05F0"/>
    <w:lvl w:ilvl="0" w:tplc="271A7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AC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A89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5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C2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29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247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AB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40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3A6856"/>
    <w:multiLevelType w:val="hybridMultilevel"/>
    <w:tmpl w:val="4B22C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6BD9"/>
    <w:multiLevelType w:val="hybridMultilevel"/>
    <w:tmpl w:val="7B3659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D7A41"/>
    <w:multiLevelType w:val="hybridMultilevel"/>
    <w:tmpl w:val="DAAC98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55C86"/>
    <w:multiLevelType w:val="hybridMultilevel"/>
    <w:tmpl w:val="839C8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A06A8"/>
    <w:multiLevelType w:val="multilevel"/>
    <w:tmpl w:val="FC22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5F34D93"/>
    <w:multiLevelType w:val="hybridMultilevel"/>
    <w:tmpl w:val="E5E40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308031">
    <w:abstractNumId w:val="4"/>
  </w:num>
  <w:num w:numId="2" w16cid:durableId="999310777">
    <w:abstractNumId w:val="2"/>
  </w:num>
  <w:num w:numId="3" w16cid:durableId="1447042348">
    <w:abstractNumId w:val="3"/>
  </w:num>
  <w:num w:numId="4" w16cid:durableId="1379889885">
    <w:abstractNumId w:val="0"/>
  </w:num>
  <w:num w:numId="5" w16cid:durableId="1303997221">
    <w:abstractNumId w:val="1"/>
  </w:num>
  <w:num w:numId="6" w16cid:durableId="405299659">
    <w:abstractNumId w:val="6"/>
  </w:num>
  <w:num w:numId="7" w16cid:durableId="1312445130">
    <w:abstractNumId w:val="1"/>
  </w:num>
  <w:num w:numId="8" w16cid:durableId="640694404">
    <w:abstractNumId w:val="6"/>
  </w:num>
  <w:num w:numId="9" w16cid:durableId="1453210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E2"/>
    <w:rsid w:val="00010CC9"/>
    <w:rsid w:val="00012DB0"/>
    <w:rsid w:val="000268E8"/>
    <w:rsid w:val="00034A44"/>
    <w:rsid w:val="000564F6"/>
    <w:rsid w:val="00073C6D"/>
    <w:rsid w:val="00080251"/>
    <w:rsid w:val="00096708"/>
    <w:rsid w:val="000A088E"/>
    <w:rsid w:val="000A243F"/>
    <w:rsid w:val="000A5D86"/>
    <w:rsid w:val="000B3858"/>
    <w:rsid w:val="000C3C8F"/>
    <w:rsid w:val="000C7933"/>
    <w:rsid w:val="00106104"/>
    <w:rsid w:val="00142391"/>
    <w:rsid w:val="00142A54"/>
    <w:rsid w:val="0014537B"/>
    <w:rsid w:val="00163990"/>
    <w:rsid w:val="00166E71"/>
    <w:rsid w:val="00167C84"/>
    <w:rsid w:val="00170787"/>
    <w:rsid w:val="00183EDF"/>
    <w:rsid w:val="001855C9"/>
    <w:rsid w:val="001A4B25"/>
    <w:rsid w:val="001B0E60"/>
    <w:rsid w:val="001C04FE"/>
    <w:rsid w:val="001C08D4"/>
    <w:rsid w:val="001C0ABA"/>
    <w:rsid w:val="001C26E4"/>
    <w:rsid w:val="001C6A83"/>
    <w:rsid w:val="001D1AED"/>
    <w:rsid w:val="001D4899"/>
    <w:rsid w:val="001E125C"/>
    <w:rsid w:val="001E4C63"/>
    <w:rsid w:val="001F05AC"/>
    <w:rsid w:val="001F2F40"/>
    <w:rsid w:val="001F360B"/>
    <w:rsid w:val="001F36ED"/>
    <w:rsid w:val="001F39C0"/>
    <w:rsid w:val="00205738"/>
    <w:rsid w:val="00217E54"/>
    <w:rsid w:val="00235403"/>
    <w:rsid w:val="0024022A"/>
    <w:rsid w:val="00242EE2"/>
    <w:rsid w:val="00264B2B"/>
    <w:rsid w:val="00284AF7"/>
    <w:rsid w:val="002855BB"/>
    <w:rsid w:val="00297A7C"/>
    <w:rsid w:val="002A0BF3"/>
    <w:rsid w:val="002A3CC5"/>
    <w:rsid w:val="002A5B93"/>
    <w:rsid w:val="002B212C"/>
    <w:rsid w:val="002B5BD8"/>
    <w:rsid w:val="002C7177"/>
    <w:rsid w:val="002D3FF0"/>
    <w:rsid w:val="002D5B81"/>
    <w:rsid w:val="002D65B1"/>
    <w:rsid w:val="002E3CA8"/>
    <w:rsid w:val="002F09B1"/>
    <w:rsid w:val="0030018F"/>
    <w:rsid w:val="00313CD8"/>
    <w:rsid w:val="00315A62"/>
    <w:rsid w:val="0032048A"/>
    <w:rsid w:val="003207AF"/>
    <w:rsid w:val="003228AD"/>
    <w:rsid w:val="003308C7"/>
    <w:rsid w:val="00346117"/>
    <w:rsid w:val="00371275"/>
    <w:rsid w:val="00375787"/>
    <w:rsid w:val="00381DC7"/>
    <w:rsid w:val="003A55A3"/>
    <w:rsid w:val="003B2256"/>
    <w:rsid w:val="003B4DFF"/>
    <w:rsid w:val="003B4E5E"/>
    <w:rsid w:val="003C68B2"/>
    <w:rsid w:val="003D0BB8"/>
    <w:rsid w:val="003D77B3"/>
    <w:rsid w:val="003E7257"/>
    <w:rsid w:val="003F5875"/>
    <w:rsid w:val="00404265"/>
    <w:rsid w:val="0040766F"/>
    <w:rsid w:val="00412C05"/>
    <w:rsid w:val="004174BB"/>
    <w:rsid w:val="00417551"/>
    <w:rsid w:val="00433F65"/>
    <w:rsid w:val="004464B0"/>
    <w:rsid w:val="004464D5"/>
    <w:rsid w:val="00461A15"/>
    <w:rsid w:val="00465031"/>
    <w:rsid w:val="00474658"/>
    <w:rsid w:val="004A07AC"/>
    <w:rsid w:val="004B113C"/>
    <w:rsid w:val="004B43CE"/>
    <w:rsid w:val="004C1D53"/>
    <w:rsid w:val="004D736E"/>
    <w:rsid w:val="004D7884"/>
    <w:rsid w:val="004E4294"/>
    <w:rsid w:val="00500A2B"/>
    <w:rsid w:val="00502E4F"/>
    <w:rsid w:val="00511119"/>
    <w:rsid w:val="005422D3"/>
    <w:rsid w:val="005425AC"/>
    <w:rsid w:val="00593077"/>
    <w:rsid w:val="005C6F64"/>
    <w:rsid w:val="005D5430"/>
    <w:rsid w:val="005D634B"/>
    <w:rsid w:val="005E1D5B"/>
    <w:rsid w:val="005F05E5"/>
    <w:rsid w:val="005F54AE"/>
    <w:rsid w:val="0060671A"/>
    <w:rsid w:val="00610B0B"/>
    <w:rsid w:val="00617725"/>
    <w:rsid w:val="00620577"/>
    <w:rsid w:val="00621B7F"/>
    <w:rsid w:val="0064069F"/>
    <w:rsid w:val="00643126"/>
    <w:rsid w:val="00643E5C"/>
    <w:rsid w:val="00656B24"/>
    <w:rsid w:val="00666331"/>
    <w:rsid w:val="00666BFA"/>
    <w:rsid w:val="0067125B"/>
    <w:rsid w:val="00673348"/>
    <w:rsid w:val="00676C2C"/>
    <w:rsid w:val="006802FD"/>
    <w:rsid w:val="006813C6"/>
    <w:rsid w:val="00685080"/>
    <w:rsid w:val="006901F1"/>
    <w:rsid w:val="006909D7"/>
    <w:rsid w:val="006B2BEA"/>
    <w:rsid w:val="006E14F8"/>
    <w:rsid w:val="006E745D"/>
    <w:rsid w:val="006F0162"/>
    <w:rsid w:val="006F5EA2"/>
    <w:rsid w:val="00700138"/>
    <w:rsid w:val="00713C57"/>
    <w:rsid w:val="007157E0"/>
    <w:rsid w:val="00716443"/>
    <w:rsid w:val="0072681B"/>
    <w:rsid w:val="00731920"/>
    <w:rsid w:val="00733961"/>
    <w:rsid w:val="00735A5D"/>
    <w:rsid w:val="00746584"/>
    <w:rsid w:val="00773A24"/>
    <w:rsid w:val="00784AB3"/>
    <w:rsid w:val="00792DBA"/>
    <w:rsid w:val="007A019A"/>
    <w:rsid w:val="007A139B"/>
    <w:rsid w:val="007A44CF"/>
    <w:rsid w:val="007A67F7"/>
    <w:rsid w:val="007B7263"/>
    <w:rsid w:val="007C0EA6"/>
    <w:rsid w:val="007D5218"/>
    <w:rsid w:val="007E1704"/>
    <w:rsid w:val="007E6502"/>
    <w:rsid w:val="007F2B41"/>
    <w:rsid w:val="00802A62"/>
    <w:rsid w:val="008150D9"/>
    <w:rsid w:val="008515A7"/>
    <w:rsid w:val="00857FFC"/>
    <w:rsid w:val="00861B68"/>
    <w:rsid w:val="008920EF"/>
    <w:rsid w:val="008A10A4"/>
    <w:rsid w:val="008D6FD1"/>
    <w:rsid w:val="008E2169"/>
    <w:rsid w:val="008E268E"/>
    <w:rsid w:val="008E4E08"/>
    <w:rsid w:val="008F3712"/>
    <w:rsid w:val="008F3873"/>
    <w:rsid w:val="0090600B"/>
    <w:rsid w:val="00925BB2"/>
    <w:rsid w:val="009314B4"/>
    <w:rsid w:val="00946F19"/>
    <w:rsid w:val="00957183"/>
    <w:rsid w:val="00964552"/>
    <w:rsid w:val="009654AB"/>
    <w:rsid w:val="0096567B"/>
    <w:rsid w:val="00967D59"/>
    <w:rsid w:val="009717E5"/>
    <w:rsid w:val="00983BA1"/>
    <w:rsid w:val="009A4970"/>
    <w:rsid w:val="009C0214"/>
    <w:rsid w:val="009D1750"/>
    <w:rsid w:val="009E3678"/>
    <w:rsid w:val="009E6083"/>
    <w:rsid w:val="009F6BE7"/>
    <w:rsid w:val="00A14AC2"/>
    <w:rsid w:val="00A362A5"/>
    <w:rsid w:val="00A4503A"/>
    <w:rsid w:val="00A5181E"/>
    <w:rsid w:val="00A55C89"/>
    <w:rsid w:val="00A62FD0"/>
    <w:rsid w:val="00A64120"/>
    <w:rsid w:val="00A81321"/>
    <w:rsid w:val="00A93C08"/>
    <w:rsid w:val="00AA0053"/>
    <w:rsid w:val="00AD48B3"/>
    <w:rsid w:val="00AD6FBD"/>
    <w:rsid w:val="00AE58FC"/>
    <w:rsid w:val="00AF0A34"/>
    <w:rsid w:val="00AF5762"/>
    <w:rsid w:val="00B12588"/>
    <w:rsid w:val="00B30E6E"/>
    <w:rsid w:val="00B3275D"/>
    <w:rsid w:val="00B32A63"/>
    <w:rsid w:val="00B436F2"/>
    <w:rsid w:val="00B60F9F"/>
    <w:rsid w:val="00B70B28"/>
    <w:rsid w:val="00B75A57"/>
    <w:rsid w:val="00B90DC9"/>
    <w:rsid w:val="00B965D9"/>
    <w:rsid w:val="00BA40FF"/>
    <w:rsid w:val="00BA4984"/>
    <w:rsid w:val="00BE20D6"/>
    <w:rsid w:val="00C049F6"/>
    <w:rsid w:val="00C06387"/>
    <w:rsid w:val="00C07188"/>
    <w:rsid w:val="00C104C4"/>
    <w:rsid w:val="00C22304"/>
    <w:rsid w:val="00C36810"/>
    <w:rsid w:val="00C51190"/>
    <w:rsid w:val="00C51DD2"/>
    <w:rsid w:val="00C54DEE"/>
    <w:rsid w:val="00C568A7"/>
    <w:rsid w:val="00C65487"/>
    <w:rsid w:val="00C6633D"/>
    <w:rsid w:val="00C72516"/>
    <w:rsid w:val="00C837B7"/>
    <w:rsid w:val="00C84CF1"/>
    <w:rsid w:val="00C91F90"/>
    <w:rsid w:val="00CB0085"/>
    <w:rsid w:val="00CB248C"/>
    <w:rsid w:val="00CC1BB2"/>
    <w:rsid w:val="00CD7D19"/>
    <w:rsid w:val="00CE2159"/>
    <w:rsid w:val="00CE4571"/>
    <w:rsid w:val="00CE78D9"/>
    <w:rsid w:val="00CF5D37"/>
    <w:rsid w:val="00D23E95"/>
    <w:rsid w:val="00D36447"/>
    <w:rsid w:val="00D45835"/>
    <w:rsid w:val="00D5484F"/>
    <w:rsid w:val="00D6168D"/>
    <w:rsid w:val="00D677DA"/>
    <w:rsid w:val="00D72018"/>
    <w:rsid w:val="00D764CF"/>
    <w:rsid w:val="00D97145"/>
    <w:rsid w:val="00DB7042"/>
    <w:rsid w:val="00DB7DD1"/>
    <w:rsid w:val="00DC5728"/>
    <w:rsid w:val="00DC648E"/>
    <w:rsid w:val="00DC7743"/>
    <w:rsid w:val="00DD592B"/>
    <w:rsid w:val="00DF3139"/>
    <w:rsid w:val="00E03DB8"/>
    <w:rsid w:val="00E07B04"/>
    <w:rsid w:val="00E209B2"/>
    <w:rsid w:val="00E304CF"/>
    <w:rsid w:val="00E41810"/>
    <w:rsid w:val="00E4747B"/>
    <w:rsid w:val="00E51202"/>
    <w:rsid w:val="00E527B6"/>
    <w:rsid w:val="00E73800"/>
    <w:rsid w:val="00E7593F"/>
    <w:rsid w:val="00E832F4"/>
    <w:rsid w:val="00E87AB6"/>
    <w:rsid w:val="00E92CA7"/>
    <w:rsid w:val="00EA3F9D"/>
    <w:rsid w:val="00EA719C"/>
    <w:rsid w:val="00EB288F"/>
    <w:rsid w:val="00EC4102"/>
    <w:rsid w:val="00F07E0B"/>
    <w:rsid w:val="00F12CA4"/>
    <w:rsid w:val="00F16434"/>
    <w:rsid w:val="00F22679"/>
    <w:rsid w:val="00F243C6"/>
    <w:rsid w:val="00F245DB"/>
    <w:rsid w:val="00F246C0"/>
    <w:rsid w:val="00F24E42"/>
    <w:rsid w:val="00F3391D"/>
    <w:rsid w:val="00F34CC6"/>
    <w:rsid w:val="00F614BF"/>
    <w:rsid w:val="00F663A5"/>
    <w:rsid w:val="00F80B86"/>
    <w:rsid w:val="00F900BB"/>
    <w:rsid w:val="00F9059A"/>
    <w:rsid w:val="00F9161A"/>
    <w:rsid w:val="00F928E4"/>
    <w:rsid w:val="00FA0230"/>
    <w:rsid w:val="00FC2794"/>
    <w:rsid w:val="00FC7E13"/>
    <w:rsid w:val="00FD136A"/>
    <w:rsid w:val="00FD3C42"/>
    <w:rsid w:val="00FE271C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AEFED"/>
  <w14:defaultImageDpi w14:val="300"/>
  <w15:docId w15:val="{973E96A0-933E-4C63-8996-F1EB7850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F9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04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3F9D"/>
    <w:pPr>
      <w:keepNext/>
      <w:jc w:val="right"/>
      <w:outlineLvl w:val="5"/>
    </w:pPr>
    <w:rPr>
      <w:rFonts w:ascii="Calibri" w:eastAsia="Times New Roman" w:hAnsi="Calibri" w:cs="Calibri"/>
      <w:b/>
      <w:bCs/>
      <w:color w:val="FFFFFF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E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EE2"/>
  </w:style>
  <w:style w:type="paragraph" w:styleId="Piedepgina">
    <w:name w:val="footer"/>
    <w:basedOn w:val="Normal"/>
    <w:link w:val="PiedepginaCar"/>
    <w:uiPriority w:val="99"/>
    <w:unhideWhenUsed/>
    <w:rsid w:val="00242E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EE2"/>
  </w:style>
  <w:style w:type="paragraph" w:styleId="Textodeglobo">
    <w:name w:val="Balloon Text"/>
    <w:basedOn w:val="Normal"/>
    <w:link w:val="TextodegloboCar"/>
    <w:uiPriority w:val="99"/>
    <w:semiHidden/>
    <w:unhideWhenUsed/>
    <w:rsid w:val="00242E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EE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6E745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720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01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0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20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2018"/>
    <w:rPr>
      <w:b/>
      <w:bCs/>
      <w:sz w:val="20"/>
      <w:szCs w:val="20"/>
    </w:rPr>
  </w:style>
  <w:style w:type="paragraph" w:customStyle="1" w:styleId="Default">
    <w:name w:val="Default"/>
    <w:rsid w:val="004C1D53"/>
    <w:pPr>
      <w:autoSpaceDE w:val="0"/>
      <w:autoSpaceDN w:val="0"/>
      <w:adjustRightInd w:val="0"/>
    </w:pPr>
    <w:rPr>
      <w:rFonts w:ascii="Calibri" w:hAnsi="Calibri" w:cs="Calibri"/>
      <w:color w:val="000000"/>
      <w:lang w:val="es-CL"/>
    </w:rPr>
  </w:style>
  <w:style w:type="table" w:styleId="Listaclara">
    <w:name w:val="Light List"/>
    <w:basedOn w:val="Tablanormal"/>
    <w:uiPriority w:val="61"/>
    <w:rsid w:val="00621B7F"/>
    <w:rPr>
      <w:sz w:val="22"/>
      <w:szCs w:val="2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314B4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7E1704"/>
  </w:style>
  <w:style w:type="paragraph" w:styleId="Textoindependiente3">
    <w:name w:val="Body Text 3"/>
    <w:basedOn w:val="Normal"/>
    <w:link w:val="Textoindependiente3Car"/>
    <w:uiPriority w:val="99"/>
    <w:unhideWhenUsed/>
    <w:rsid w:val="004464B0"/>
    <w:pPr>
      <w:spacing w:after="120"/>
      <w:jc w:val="both"/>
    </w:pPr>
    <w:rPr>
      <w:rFonts w:ascii="Calibri" w:eastAsia="Times New Roman" w:hAnsi="Calibri" w:cs="Times New Roman"/>
      <w:i/>
      <w:sz w:val="22"/>
      <w:szCs w:val="22"/>
      <w:lang w:val="en-GB" w:eastAsia="en-GB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464B0"/>
    <w:rPr>
      <w:rFonts w:ascii="Calibri" w:eastAsia="Times New Roman" w:hAnsi="Calibri" w:cs="Times New Roman"/>
      <w:i/>
      <w:sz w:val="22"/>
      <w:szCs w:val="22"/>
      <w:lang w:val="en-GB" w:eastAsia="en-GB"/>
    </w:rPr>
  </w:style>
  <w:style w:type="character" w:customStyle="1" w:styleId="Ttulo6Car">
    <w:name w:val="Título 6 Car"/>
    <w:basedOn w:val="Fuentedeprrafopredeter"/>
    <w:link w:val="Ttulo6"/>
    <w:uiPriority w:val="9"/>
    <w:rsid w:val="00EA3F9D"/>
    <w:rPr>
      <w:rFonts w:ascii="Calibri" w:eastAsia="Times New Roman" w:hAnsi="Calibri" w:cs="Calibri"/>
      <w:b/>
      <w:bCs/>
      <w:color w:val="FFFFFF"/>
      <w:sz w:val="22"/>
      <w:szCs w:val="22"/>
      <w:lang w:val="en-GB" w:eastAsia="en-US"/>
    </w:rPr>
  </w:style>
  <w:style w:type="character" w:customStyle="1" w:styleId="ts-alignment-element">
    <w:name w:val="ts-alignment-element"/>
    <w:basedOn w:val="Fuentedeprrafopredeter"/>
    <w:rsid w:val="005F05E5"/>
  </w:style>
  <w:style w:type="character" w:customStyle="1" w:styleId="ts-alignment-element-highlighted">
    <w:name w:val="ts-alignment-element-highlighted"/>
    <w:basedOn w:val="Fuentedeprrafopredeter"/>
    <w:rsid w:val="005F05E5"/>
  </w:style>
  <w:style w:type="character" w:customStyle="1" w:styleId="Ttulo2Car">
    <w:name w:val="Título 2 Car"/>
    <w:basedOn w:val="Fuentedeprrafopredeter"/>
    <w:link w:val="Ttulo2"/>
    <w:uiPriority w:val="9"/>
    <w:rsid w:val="001C04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1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3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70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24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31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97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8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3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95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1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8B9EF95BD6EE4188FBD660E12A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43548-9908-6C47-9B21-8479D2E7F773}"/>
      </w:docPartPr>
      <w:docPartBody>
        <w:p w:rsidR="003012F1" w:rsidRDefault="002C3654" w:rsidP="002C3654">
          <w:pPr>
            <w:pStyle w:val="DC8B9EF95BD6EE4188FBD660E12A611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D97AD44C4EC8E6458132BE32CACE2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9C352-3063-FA4F-83E8-00E5B2AC8EC3}"/>
      </w:docPartPr>
      <w:docPartBody>
        <w:p w:rsidR="003012F1" w:rsidRDefault="002C3654" w:rsidP="002C3654">
          <w:pPr>
            <w:pStyle w:val="D97AD44C4EC8E6458132BE32CACE223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3693006B084AC499F211AC1186E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17259-27E9-ED48-90DD-8483F6804802}"/>
      </w:docPartPr>
      <w:docPartBody>
        <w:p w:rsidR="003012F1" w:rsidRDefault="002C3654" w:rsidP="002C3654">
          <w:pPr>
            <w:pStyle w:val="E3693006B084AC499F211AC1186E7C2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654"/>
    <w:rsid w:val="00080C62"/>
    <w:rsid w:val="0009328B"/>
    <w:rsid w:val="000B3C76"/>
    <w:rsid w:val="00135D42"/>
    <w:rsid w:val="00152B92"/>
    <w:rsid w:val="00173B28"/>
    <w:rsid w:val="001A1975"/>
    <w:rsid w:val="00227B09"/>
    <w:rsid w:val="00284AF7"/>
    <w:rsid w:val="002C3654"/>
    <w:rsid w:val="003012F1"/>
    <w:rsid w:val="00352F7A"/>
    <w:rsid w:val="003D1684"/>
    <w:rsid w:val="003D1694"/>
    <w:rsid w:val="00464333"/>
    <w:rsid w:val="00484716"/>
    <w:rsid w:val="00493A27"/>
    <w:rsid w:val="004F6F4E"/>
    <w:rsid w:val="00563036"/>
    <w:rsid w:val="00596528"/>
    <w:rsid w:val="006049FF"/>
    <w:rsid w:val="0061682A"/>
    <w:rsid w:val="0066353F"/>
    <w:rsid w:val="006C30EB"/>
    <w:rsid w:val="006E0339"/>
    <w:rsid w:val="006F1FA2"/>
    <w:rsid w:val="00707AC9"/>
    <w:rsid w:val="00716443"/>
    <w:rsid w:val="00771208"/>
    <w:rsid w:val="007A74BD"/>
    <w:rsid w:val="00817138"/>
    <w:rsid w:val="008246DC"/>
    <w:rsid w:val="00976A74"/>
    <w:rsid w:val="009A598A"/>
    <w:rsid w:val="00A26B9C"/>
    <w:rsid w:val="00B11C18"/>
    <w:rsid w:val="00BE3EDA"/>
    <w:rsid w:val="00C44BA2"/>
    <w:rsid w:val="00C97E02"/>
    <w:rsid w:val="00D019C4"/>
    <w:rsid w:val="00D2429C"/>
    <w:rsid w:val="00D30B3E"/>
    <w:rsid w:val="00DE3671"/>
    <w:rsid w:val="00E10149"/>
    <w:rsid w:val="00E211F5"/>
    <w:rsid w:val="00E42E8E"/>
    <w:rsid w:val="00E96D40"/>
    <w:rsid w:val="00E97410"/>
    <w:rsid w:val="00EF57D1"/>
    <w:rsid w:val="00F11731"/>
    <w:rsid w:val="00F402ED"/>
    <w:rsid w:val="00F42C4D"/>
    <w:rsid w:val="00F65D66"/>
    <w:rsid w:val="00F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C8B9EF95BD6EE4188FBD660E12A611C">
    <w:name w:val="DC8B9EF95BD6EE4188FBD660E12A611C"/>
    <w:rsid w:val="002C3654"/>
  </w:style>
  <w:style w:type="paragraph" w:customStyle="1" w:styleId="D97AD44C4EC8E6458132BE32CACE2231">
    <w:name w:val="D97AD44C4EC8E6458132BE32CACE2231"/>
    <w:rsid w:val="002C3654"/>
  </w:style>
  <w:style w:type="paragraph" w:customStyle="1" w:styleId="E3693006B084AC499F211AC1186E7C2E">
    <w:name w:val="E3693006B084AC499F211AC1186E7C2E"/>
    <w:rsid w:val="002C36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B5E92F-7819-45C3-810D-980D5B63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Procorp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Seminario</dc:creator>
  <cp:lastModifiedBy>Pablo Orozco Bass</cp:lastModifiedBy>
  <cp:revision>2</cp:revision>
  <cp:lastPrinted>2023-04-19T12:54:00Z</cp:lastPrinted>
  <dcterms:created xsi:type="dcterms:W3CDTF">2024-07-15T17:52:00Z</dcterms:created>
  <dcterms:modified xsi:type="dcterms:W3CDTF">2024-07-15T17:52:00Z</dcterms:modified>
</cp:coreProperties>
</file>