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E605" w14:textId="77777777" w:rsidR="008A406D" w:rsidRDefault="009A6545">
      <w:pPr>
        <w:pStyle w:val="Default"/>
        <w:ind w:right="191"/>
        <w:rPr>
          <w:rFonts w:asciiTheme="majorHAnsi" w:hAnsiTheme="majorHAnsi" w:cstheme="majorHAnsi"/>
          <w:b/>
          <w:bCs/>
          <w:color w:val="auto"/>
          <w:szCs w:val="20"/>
        </w:rPr>
      </w:pPr>
      <w:r>
        <w:rPr>
          <w:rFonts w:asciiTheme="majorHAnsi" w:hAnsiTheme="majorHAnsi" w:cstheme="majorHAnsi"/>
          <w:b/>
          <w:bCs/>
          <w:color w:val="auto"/>
          <w:szCs w:val="20"/>
        </w:rPr>
        <w:t>En comparación con 2024:</w:t>
      </w:r>
    </w:p>
    <w:p w14:paraId="04840139" w14:textId="77777777" w:rsidR="008A406D" w:rsidRDefault="008A406D">
      <w:pPr>
        <w:pStyle w:val="Default"/>
        <w:ind w:right="191"/>
        <w:rPr>
          <w:rFonts w:asciiTheme="majorHAnsi" w:hAnsiTheme="majorHAnsi" w:cstheme="majorHAnsi"/>
          <w:b/>
          <w:bCs/>
          <w:color w:val="auto"/>
          <w:szCs w:val="20"/>
        </w:rPr>
      </w:pPr>
    </w:p>
    <w:p w14:paraId="572F8C0C" w14:textId="77777777" w:rsidR="008A406D" w:rsidRDefault="009A6545">
      <w:pPr>
        <w:pStyle w:val="Default"/>
        <w:ind w:right="191"/>
        <w:jc w:val="center"/>
        <w:rPr>
          <w:rFonts w:asciiTheme="majorHAnsi" w:hAnsiTheme="majorHAnsi" w:cstheme="majorHAnsi"/>
          <w:b/>
          <w:bCs/>
          <w:color w:val="auto"/>
          <w:sz w:val="36"/>
          <w:szCs w:val="28"/>
        </w:rPr>
      </w:pPr>
      <w:r>
        <w:rPr>
          <w:rFonts w:asciiTheme="majorHAnsi" w:hAnsiTheme="majorHAnsi" w:cstheme="majorHAnsi"/>
          <w:b/>
          <w:bCs/>
          <w:color w:val="auto"/>
          <w:sz w:val="36"/>
          <w:szCs w:val="28"/>
        </w:rPr>
        <w:t xml:space="preserve">En 11% aumentó la producción de cobre de </w:t>
      </w:r>
    </w:p>
    <w:p w14:paraId="561C85DE" w14:textId="77777777" w:rsidR="008A406D" w:rsidRDefault="009A6545">
      <w:pPr>
        <w:pStyle w:val="Default"/>
        <w:ind w:right="191"/>
        <w:jc w:val="center"/>
        <w:rPr>
          <w:rFonts w:asciiTheme="majorHAnsi" w:hAnsiTheme="majorHAnsi" w:cstheme="majorHAnsi"/>
          <w:b/>
          <w:bCs/>
          <w:color w:val="auto"/>
          <w:sz w:val="36"/>
          <w:szCs w:val="28"/>
        </w:rPr>
      </w:pPr>
      <w:r>
        <w:rPr>
          <w:rFonts w:asciiTheme="majorHAnsi" w:hAnsiTheme="majorHAnsi" w:cstheme="majorHAnsi"/>
          <w:b/>
          <w:bCs/>
          <w:color w:val="auto"/>
          <w:sz w:val="36"/>
          <w:szCs w:val="28"/>
        </w:rPr>
        <w:t xml:space="preserve">Antofagasta Minerals durante primer semestre del año </w:t>
      </w:r>
    </w:p>
    <w:p w14:paraId="1F4889DD" w14:textId="38EEB475" w:rsidR="008A406D" w:rsidRDefault="009A6545">
      <w:pPr>
        <w:pStyle w:val="Prrafodelista"/>
        <w:numPr>
          <w:ilvl w:val="0"/>
          <w:numId w:val="1"/>
        </w:numPr>
        <w:spacing w:before="240" w:after="240"/>
        <w:ind w:left="714" w:right="191" w:hanging="357"/>
        <w:contextualSpacing w:val="0"/>
        <w:jc w:val="both"/>
        <w:rPr>
          <w:rFonts w:asciiTheme="majorHAnsi" w:hAnsiTheme="majorHAnsi" w:cstheme="majorHAnsi"/>
          <w:b/>
          <w:bCs/>
        </w:rPr>
      </w:pPr>
      <w:bookmarkStart w:id="0" w:name="_Hlk101352705"/>
      <w:bookmarkStart w:id="1" w:name="_Hlk132730125"/>
      <w:r>
        <w:rPr>
          <w:rFonts w:asciiTheme="majorHAnsi" w:hAnsiTheme="majorHAnsi" w:cstheme="majorHAnsi"/>
          <w:b/>
          <w:bCs/>
        </w:rPr>
        <w:t xml:space="preserve">En la primera mitad del año 2025 la producción de las cuatro compañías de Antofagasta Minerals alcanzó 314.900 toneladas de cobre fino. Además, el costo neto a caja disminuyó de forma significativa gracias a una mayor producción de los subproductos oro y molibdeno. </w:t>
      </w:r>
    </w:p>
    <w:p w14:paraId="3CDDB28F" w14:textId="69EBF0B3" w:rsidR="008A406D" w:rsidRDefault="009A6545">
      <w:pPr>
        <w:pStyle w:val="Prrafodelista"/>
        <w:numPr>
          <w:ilvl w:val="0"/>
          <w:numId w:val="1"/>
        </w:numPr>
        <w:shd w:val="clear" w:color="auto" w:fill="FDFDFD"/>
        <w:spacing w:before="120"/>
        <w:ind w:right="191"/>
        <w:rPr>
          <w:rFonts w:asciiTheme="majorHAnsi" w:hAnsiTheme="majorHAnsi" w:cstheme="majorHAnsi"/>
          <w:b/>
          <w:bCs/>
          <w:iCs/>
        </w:rPr>
      </w:pPr>
      <w:bookmarkStart w:id="2" w:name="_Hlk171942969"/>
      <w:r>
        <w:rPr>
          <w:rFonts w:asciiTheme="majorHAnsi" w:hAnsiTheme="majorHAnsi" w:cstheme="majorHAnsi"/>
          <w:b/>
          <w:bCs/>
          <w:iCs/>
        </w:rPr>
        <w:t xml:space="preserve">Por otra parte, el </w:t>
      </w:r>
      <w:proofErr w:type="gramStart"/>
      <w:r>
        <w:rPr>
          <w:rFonts w:asciiTheme="majorHAnsi" w:hAnsiTheme="majorHAnsi" w:cstheme="majorHAnsi"/>
          <w:b/>
          <w:bCs/>
          <w:iCs/>
        </w:rPr>
        <w:t>Presidente Ejecutivo</w:t>
      </w:r>
      <w:proofErr w:type="gramEnd"/>
      <w:r>
        <w:rPr>
          <w:rFonts w:asciiTheme="majorHAnsi" w:hAnsiTheme="majorHAnsi" w:cstheme="majorHAnsi"/>
          <w:b/>
          <w:bCs/>
          <w:iCs/>
        </w:rPr>
        <w:t xml:space="preserve"> de Antofagasta Minerals, </w:t>
      </w:r>
      <w:r w:rsidR="007D4227">
        <w:rPr>
          <w:rFonts w:asciiTheme="majorHAnsi" w:hAnsiTheme="majorHAnsi" w:cstheme="majorHAnsi"/>
          <w:b/>
          <w:bCs/>
          <w:iCs/>
        </w:rPr>
        <w:t>señal</w:t>
      </w:r>
      <w:r w:rsidR="00980793">
        <w:rPr>
          <w:rFonts w:asciiTheme="majorHAnsi" w:hAnsiTheme="majorHAnsi" w:cstheme="majorHAnsi"/>
          <w:b/>
          <w:bCs/>
          <w:iCs/>
        </w:rPr>
        <w:t>ó</w:t>
      </w:r>
      <w:r w:rsidR="007D4227">
        <w:rPr>
          <w:rFonts w:asciiTheme="majorHAnsi" w:hAnsiTheme="majorHAnsi" w:cstheme="majorHAnsi"/>
          <w:b/>
          <w:bCs/>
          <w:iCs/>
        </w:rPr>
        <w:t xml:space="preserve">: </w:t>
      </w:r>
      <w:r>
        <w:rPr>
          <w:rFonts w:asciiTheme="majorHAnsi" w:hAnsiTheme="majorHAnsi" w:cstheme="majorHAnsi"/>
          <w:b/>
          <w:bCs/>
          <w:iCs/>
        </w:rPr>
        <w:t xml:space="preserve">“Seguimos convencidos de que el cobre es el metal del futuro. Vemos que la demanda </w:t>
      </w:r>
      <w:r w:rsidR="000D6871">
        <w:rPr>
          <w:rFonts w:asciiTheme="majorHAnsi" w:hAnsiTheme="majorHAnsi" w:cstheme="majorHAnsi"/>
          <w:b/>
          <w:bCs/>
          <w:iCs/>
        </w:rPr>
        <w:t>continuará</w:t>
      </w:r>
      <w:r>
        <w:rPr>
          <w:rFonts w:asciiTheme="majorHAnsi" w:hAnsiTheme="majorHAnsi" w:cstheme="majorHAnsi"/>
          <w:b/>
          <w:bCs/>
          <w:iCs/>
        </w:rPr>
        <w:t xml:space="preserve"> </w:t>
      </w:r>
      <w:r w:rsidR="007D4227">
        <w:rPr>
          <w:rFonts w:asciiTheme="majorHAnsi" w:hAnsiTheme="majorHAnsi" w:cstheme="majorHAnsi"/>
          <w:b/>
          <w:bCs/>
          <w:iCs/>
        </w:rPr>
        <w:t xml:space="preserve">desarrollándose para variados usos incluyendo su </w:t>
      </w:r>
      <w:r w:rsidR="000D6871">
        <w:rPr>
          <w:rFonts w:asciiTheme="majorHAnsi" w:hAnsiTheme="majorHAnsi" w:cstheme="majorHAnsi"/>
          <w:b/>
          <w:bCs/>
          <w:iCs/>
        </w:rPr>
        <w:t>utilización</w:t>
      </w:r>
      <w:r w:rsidR="007D4227">
        <w:rPr>
          <w:rFonts w:asciiTheme="majorHAnsi" w:hAnsiTheme="majorHAnsi" w:cstheme="majorHAnsi"/>
          <w:b/>
          <w:bCs/>
          <w:iCs/>
        </w:rPr>
        <w:t xml:space="preserve"> en </w:t>
      </w:r>
      <w:r>
        <w:rPr>
          <w:rFonts w:asciiTheme="majorHAnsi" w:hAnsiTheme="majorHAnsi" w:cstheme="majorHAnsi"/>
          <w:b/>
          <w:bCs/>
          <w:iCs/>
        </w:rPr>
        <w:t xml:space="preserve">sectores estratégicos tales como la seguridad energética, las tecnologías modernas requeridas para la descarbonización de la economía, la inteligencia artificial o la construcción de infraestructura”. </w:t>
      </w:r>
    </w:p>
    <w:bookmarkEnd w:id="0"/>
    <w:bookmarkEnd w:id="1"/>
    <w:bookmarkEnd w:id="2"/>
    <w:p w14:paraId="2017F889" w14:textId="77777777" w:rsidR="008A406D" w:rsidRDefault="008A406D">
      <w:pPr>
        <w:pStyle w:val="Default"/>
        <w:pBdr>
          <w:bottom w:val="single" w:sz="4" w:space="1" w:color="auto"/>
        </w:pBdr>
        <w:spacing w:before="120" w:after="120"/>
        <w:ind w:right="191"/>
        <w:jc w:val="right"/>
        <w:rPr>
          <w:rFonts w:asciiTheme="majorHAnsi" w:hAnsiTheme="majorHAnsi" w:cstheme="majorHAnsi"/>
          <w:color w:val="auto"/>
        </w:rPr>
      </w:pPr>
    </w:p>
    <w:p w14:paraId="52A6586A" w14:textId="77777777" w:rsidR="008A406D" w:rsidRDefault="009A6545">
      <w:pPr>
        <w:pStyle w:val="Default"/>
        <w:pBdr>
          <w:bottom w:val="single" w:sz="4" w:space="1" w:color="auto"/>
        </w:pBdr>
        <w:spacing w:before="120" w:after="120"/>
        <w:ind w:right="191"/>
        <w:jc w:val="right"/>
        <w:rPr>
          <w:rFonts w:asciiTheme="majorHAnsi" w:hAnsiTheme="majorHAnsi" w:cstheme="majorHAnsi"/>
          <w:color w:val="auto"/>
        </w:rPr>
      </w:pPr>
      <w:r>
        <w:rPr>
          <w:rFonts w:asciiTheme="majorHAnsi" w:hAnsiTheme="majorHAnsi" w:cstheme="majorHAnsi"/>
          <w:color w:val="auto"/>
        </w:rPr>
        <w:t>Santiago, 16 de julio de 2025</w:t>
      </w:r>
    </w:p>
    <w:p w14:paraId="529AC0A2" w14:textId="04A919A1"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 xml:space="preserve">La producción de cobre fino de Antofagasta Minerals se incrementó en un 11% durante el primer semestre de este año en comparación con el mismo periodo del año anterior, llegando a 314.900 toneladas. </w:t>
      </w:r>
    </w:p>
    <w:p w14:paraId="15DCF6CC" w14:textId="2F71AF58"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w:t>
      </w:r>
      <w:r>
        <w:rPr>
          <w:rFonts w:asciiTheme="majorHAnsi" w:hAnsiTheme="majorHAnsi" w:cstheme="majorHAnsi"/>
        </w:rPr>
        <w:t>Este resultado se debe a un aumento en la producción de Los Pelambres y Centinela, nuestras dos principales operaciones.</w:t>
      </w:r>
      <w:r>
        <w:rPr>
          <w:rFonts w:asciiTheme="majorHAnsi" w:hAnsiTheme="majorHAnsi" w:cstheme="majorHAnsi"/>
          <w:iCs/>
        </w:rPr>
        <w:t xml:space="preserve"> A la vez, el costo neto de caja disminuyó 32% en los primeros seis meses en comparación con los primeros dos trimestres de 2024, debido a una mayor producción de los subproductos oro y molibdeno”, indicó Iván Arriagada, </w:t>
      </w:r>
      <w:proofErr w:type="gramStart"/>
      <w:r w:rsidR="00980793">
        <w:rPr>
          <w:rFonts w:asciiTheme="majorHAnsi" w:hAnsiTheme="majorHAnsi" w:cstheme="majorHAnsi"/>
          <w:iCs/>
        </w:rPr>
        <w:t>P</w:t>
      </w:r>
      <w:r>
        <w:rPr>
          <w:rFonts w:asciiTheme="majorHAnsi" w:hAnsiTheme="majorHAnsi" w:cstheme="majorHAnsi"/>
          <w:iCs/>
        </w:rPr>
        <w:t xml:space="preserve">residente </w:t>
      </w:r>
      <w:r w:rsidR="00980793">
        <w:rPr>
          <w:rFonts w:asciiTheme="majorHAnsi" w:hAnsiTheme="majorHAnsi" w:cstheme="majorHAnsi"/>
          <w:iCs/>
        </w:rPr>
        <w:t>E</w:t>
      </w:r>
      <w:r>
        <w:rPr>
          <w:rFonts w:asciiTheme="majorHAnsi" w:hAnsiTheme="majorHAnsi" w:cstheme="majorHAnsi"/>
          <w:iCs/>
        </w:rPr>
        <w:t>jecutivo</w:t>
      </w:r>
      <w:proofErr w:type="gramEnd"/>
      <w:r>
        <w:rPr>
          <w:rFonts w:asciiTheme="majorHAnsi" w:hAnsiTheme="majorHAnsi" w:cstheme="majorHAnsi"/>
          <w:iCs/>
        </w:rPr>
        <w:t xml:space="preserve"> de Antofagasta Minerals.  </w:t>
      </w:r>
    </w:p>
    <w:p w14:paraId="58F4B1D2" w14:textId="6648EF08"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Durante la primera mitad del año</w:t>
      </w:r>
      <w:r w:rsidR="00980793">
        <w:rPr>
          <w:rFonts w:asciiTheme="majorHAnsi" w:hAnsiTheme="majorHAnsi" w:cstheme="majorHAnsi"/>
          <w:iCs/>
        </w:rPr>
        <w:t>,</w:t>
      </w:r>
      <w:r>
        <w:rPr>
          <w:rFonts w:asciiTheme="majorHAnsi" w:hAnsiTheme="majorHAnsi" w:cstheme="majorHAnsi"/>
          <w:iCs/>
        </w:rPr>
        <w:t xml:space="preserve"> la producción de oro aumentó en 36% y la de molibdeno</w:t>
      </w:r>
      <w:r w:rsidR="000D6871">
        <w:rPr>
          <w:rFonts w:asciiTheme="majorHAnsi" w:hAnsiTheme="majorHAnsi" w:cstheme="majorHAnsi"/>
          <w:iCs/>
        </w:rPr>
        <w:t>,</w:t>
      </w:r>
      <w:r>
        <w:rPr>
          <w:rFonts w:asciiTheme="majorHAnsi" w:hAnsiTheme="majorHAnsi" w:cstheme="majorHAnsi"/>
          <w:iCs/>
        </w:rPr>
        <w:t xml:space="preserve"> en 42%, lo que incidió en la disminución del costo neto de caja a US$1,32 por libra. En este sentido, se proyecta que el costo neto de cada promedio del año 2025 se ubique en la parte baja del rango estimado por el Grupo, el que se sitúa entre US$1,45 y US$1,65 por libra.</w:t>
      </w:r>
    </w:p>
    <w:p w14:paraId="3E56AA98" w14:textId="0E6CCBD0"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 xml:space="preserve">“Antofagasta Minerals mantiene las expectativas de producir entre 660.000 y 700.000 toneladas de cobre este año”, señaló Iván Arriagada. </w:t>
      </w:r>
    </w:p>
    <w:p w14:paraId="1DDB52E0" w14:textId="00A252F5"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 xml:space="preserve">Por otra parte, el ejecutivo destacó que el Grupo sigue con </w:t>
      </w:r>
      <w:r w:rsidR="007D4227">
        <w:rPr>
          <w:rFonts w:asciiTheme="majorHAnsi" w:hAnsiTheme="majorHAnsi" w:cstheme="majorHAnsi"/>
          <w:iCs/>
        </w:rPr>
        <w:t>s</w:t>
      </w:r>
      <w:r w:rsidR="000D6871">
        <w:rPr>
          <w:rFonts w:asciiTheme="majorHAnsi" w:hAnsiTheme="majorHAnsi" w:cstheme="majorHAnsi"/>
          <w:iCs/>
        </w:rPr>
        <w:t>ó</w:t>
      </w:r>
      <w:r w:rsidR="007D4227">
        <w:rPr>
          <w:rFonts w:asciiTheme="majorHAnsi" w:hAnsiTheme="majorHAnsi" w:cstheme="majorHAnsi"/>
          <w:iCs/>
        </w:rPr>
        <w:t xml:space="preserve">lidos </w:t>
      </w:r>
      <w:r>
        <w:rPr>
          <w:rFonts w:asciiTheme="majorHAnsi" w:hAnsiTheme="majorHAnsi" w:cstheme="majorHAnsi"/>
          <w:iCs/>
        </w:rPr>
        <w:t>resultados en seguridad, sin accidentes fatales</w:t>
      </w:r>
      <w:r w:rsidR="007D4227">
        <w:rPr>
          <w:rFonts w:asciiTheme="majorHAnsi" w:hAnsiTheme="majorHAnsi" w:cstheme="majorHAnsi"/>
          <w:iCs/>
        </w:rPr>
        <w:t xml:space="preserve">. </w:t>
      </w:r>
      <w:r>
        <w:rPr>
          <w:rFonts w:asciiTheme="majorHAnsi" w:hAnsiTheme="majorHAnsi" w:cstheme="majorHAnsi"/>
          <w:iCs/>
        </w:rPr>
        <w:t xml:space="preserve">  </w:t>
      </w:r>
    </w:p>
    <w:p w14:paraId="0207240F" w14:textId="77777777" w:rsidR="008A406D" w:rsidRDefault="009A6545">
      <w:pPr>
        <w:shd w:val="clear" w:color="auto" w:fill="FDFDFD"/>
        <w:spacing w:before="120"/>
        <w:ind w:right="191"/>
        <w:rPr>
          <w:rFonts w:asciiTheme="majorHAnsi" w:hAnsiTheme="majorHAnsi" w:cstheme="majorHAnsi"/>
          <w:b/>
          <w:bCs/>
          <w:iCs/>
        </w:rPr>
      </w:pPr>
      <w:r>
        <w:rPr>
          <w:rFonts w:asciiTheme="majorHAnsi" w:hAnsiTheme="majorHAnsi" w:cstheme="majorHAnsi"/>
          <w:b/>
          <w:bCs/>
          <w:iCs/>
        </w:rPr>
        <w:t>Proyectos y mercado del cobre</w:t>
      </w:r>
    </w:p>
    <w:p w14:paraId="66FF0E44" w14:textId="5E9F1D1A" w:rsidR="008A406D" w:rsidRDefault="009A6545">
      <w:pPr>
        <w:shd w:val="clear" w:color="auto" w:fill="FDFDFD"/>
        <w:snapToGrid w:val="0"/>
        <w:spacing w:before="120"/>
        <w:ind w:right="193"/>
        <w:rPr>
          <w:rFonts w:asciiTheme="majorHAnsi" w:hAnsiTheme="majorHAnsi" w:cstheme="majorHAnsi"/>
          <w:iCs/>
        </w:rPr>
      </w:pPr>
      <w:r>
        <w:rPr>
          <w:rFonts w:asciiTheme="majorHAnsi" w:hAnsiTheme="majorHAnsi" w:cstheme="majorHAnsi"/>
          <w:iCs/>
        </w:rPr>
        <w:t xml:space="preserve">El </w:t>
      </w:r>
      <w:r w:rsidR="00980793">
        <w:rPr>
          <w:rFonts w:asciiTheme="majorHAnsi" w:hAnsiTheme="majorHAnsi" w:cstheme="majorHAnsi"/>
          <w:iCs/>
        </w:rPr>
        <w:t>máximo ejecutivo</w:t>
      </w:r>
      <w:r>
        <w:rPr>
          <w:rFonts w:asciiTheme="majorHAnsi" w:hAnsiTheme="majorHAnsi" w:cstheme="majorHAnsi"/>
          <w:iCs/>
        </w:rPr>
        <w:t xml:space="preserve"> informó que “los proyectos de desarrollo y crecimiento de Minera Centinela y Minera Los Pelambres continúan avanzando </w:t>
      </w:r>
      <w:r w:rsidR="007D4227">
        <w:rPr>
          <w:rFonts w:asciiTheme="majorHAnsi" w:hAnsiTheme="majorHAnsi" w:cstheme="majorHAnsi"/>
          <w:iCs/>
        </w:rPr>
        <w:t>de acuerdo con</w:t>
      </w:r>
      <w:r>
        <w:rPr>
          <w:rFonts w:asciiTheme="majorHAnsi" w:hAnsiTheme="majorHAnsi" w:cstheme="majorHAnsi"/>
          <w:iCs/>
        </w:rPr>
        <w:t xml:space="preserve"> sus cronogramas y presupuestos”, y agregó que “</w:t>
      </w:r>
      <w:proofErr w:type="gramStart"/>
      <w:r>
        <w:rPr>
          <w:rFonts w:asciiTheme="majorHAnsi" w:hAnsiTheme="majorHAnsi" w:cstheme="majorHAnsi"/>
          <w:iCs/>
        </w:rPr>
        <w:t>l</w:t>
      </w:r>
      <w:r w:rsidR="007D4227">
        <w:rPr>
          <w:rFonts w:asciiTheme="majorHAnsi" w:hAnsiTheme="majorHAnsi" w:cstheme="majorHAnsi"/>
          <w:iCs/>
        </w:rPr>
        <w:t>a evolución</w:t>
      </w:r>
      <w:r>
        <w:rPr>
          <w:rFonts w:asciiTheme="majorHAnsi" w:hAnsiTheme="majorHAnsi" w:cstheme="majorHAnsi"/>
          <w:iCs/>
        </w:rPr>
        <w:t xml:space="preserve"> </w:t>
      </w:r>
      <w:r w:rsidR="007D4227">
        <w:rPr>
          <w:rFonts w:asciiTheme="majorHAnsi" w:hAnsiTheme="majorHAnsi" w:cstheme="majorHAnsi"/>
          <w:iCs/>
        </w:rPr>
        <w:t xml:space="preserve">de </w:t>
      </w:r>
      <w:r w:rsidR="00980793">
        <w:rPr>
          <w:rFonts w:asciiTheme="majorHAnsi" w:hAnsiTheme="majorHAnsi" w:cstheme="majorHAnsi"/>
          <w:iCs/>
        </w:rPr>
        <w:t xml:space="preserve">los </w:t>
      </w:r>
      <w:r>
        <w:rPr>
          <w:rFonts w:asciiTheme="majorHAnsi" w:hAnsiTheme="majorHAnsi" w:cstheme="majorHAnsi"/>
          <w:iCs/>
        </w:rPr>
        <w:t>precios de los subproductos fortalecen</w:t>
      </w:r>
      <w:proofErr w:type="gramEnd"/>
      <w:r>
        <w:rPr>
          <w:rFonts w:asciiTheme="majorHAnsi" w:hAnsiTheme="majorHAnsi" w:cstheme="majorHAnsi"/>
          <w:iCs/>
        </w:rPr>
        <w:t xml:space="preserve"> la decisión de inversión que </w:t>
      </w:r>
      <w:r>
        <w:rPr>
          <w:rFonts w:asciiTheme="majorHAnsi" w:hAnsiTheme="majorHAnsi" w:cstheme="majorHAnsi"/>
          <w:iCs/>
        </w:rPr>
        <w:lastRenderedPageBreak/>
        <w:t xml:space="preserve">adoptamos”. Asimismo, destacó la aprobación del Estudio de Impacto Ambiental que permite extender las operaciones de Minera Zaldívar hasta el año 2051.  </w:t>
      </w:r>
    </w:p>
    <w:p w14:paraId="2E91B266" w14:textId="16F76D61" w:rsidR="008A406D" w:rsidRDefault="009A6545">
      <w:pPr>
        <w:shd w:val="clear" w:color="auto" w:fill="FDFDFD"/>
        <w:spacing w:before="120"/>
        <w:ind w:right="191"/>
        <w:rPr>
          <w:rFonts w:asciiTheme="majorHAnsi" w:hAnsiTheme="majorHAnsi" w:cstheme="majorHAnsi"/>
          <w:iCs/>
        </w:rPr>
      </w:pPr>
      <w:r>
        <w:rPr>
          <w:rFonts w:asciiTheme="majorHAnsi" w:hAnsiTheme="majorHAnsi" w:cstheme="majorHAnsi"/>
          <w:iCs/>
        </w:rPr>
        <w:t xml:space="preserve">En cuanto al mercado del cobre, se mantiene una proyección positiva para </w:t>
      </w:r>
      <w:r w:rsidR="007D4227">
        <w:rPr>
          <w:rFonts w:asciiTheme="majorHAnsi" w:hAnsiTheme="majorHAnsi" w:cstheme="majorHAnsi"/>
          <w:iCs/>
        </w:rPr>
        <w:t>la demanda d</w:t>
      </w:r>
      <w:r>
        <w:rPr>
          <w:rFonts w:asciiTheme="majorHAnsi" w:hAnsiTheme="majorHAnsi" w:cstheme="majorHAnsi"/>
          <w:iCs/>
        </w:rPr>
        <w:t xml:space="preserve">el metal en el mediano plazo. “Seguimos convencidos de que el cobre es el metal del futuro. Vemos que </w:t>
      </w:r>
      <w:r w:rsidR="007D4227">
        <w:rPr>
          <w:rFonts w:asciiTheme="majorHAnsi" w:hAnsiTheme="majorHAnsi" w:cstheme="majorHAnsi"/>
          <w:iCs/>
        </w:rPr>
        <w:t xml:space="preserve">la demanda </w:t>
      </w:r>
      <w:r w:rsidR="000D6871">
        <w:rPr>
          <w:rFonts w:asciiTheme="majorHAnsi" w:hAnsiTheme="majorHAnsi" w:cstheme="majorHAnsi"/>
          <w:iCs/>
        </w:rPr>
        <w:t>continuará</w:t>
      </w:r>
      <w:r w:rsidR="007D4227">
        <w:rPr>
          <w:rFonts w:asciiTheme="majorHAnsi" w:hAnsiTheme="majorHAnsi" w:cstheme="majorHAnsi"/>
          <w:iCs/>
        </w:rPr>
        <w:t xml:space="preserve"> desarrollándose para variados usos incluyendo</w:t>
      </w:r>
      <w:r w:rsidR="00980793">
        <w:rPr>
          <w:rFonts w:asciiTheme="majorHAnsi" w:hAnsiTheme="majorHAnsi" w:cstheme="majorHAnsi"/>
          <w:iCs/>
        </w:rPr>
        <w:t xml:space="preserve"> su u</w:t>
      </w:r>
      <w:r w:rsidR="000D6871">
        <w:rPr>
          <w:rFonts w:asciiTheme="majorHAnsi" w:hAnsiTheme="majorHAnsi" w:cstheme="majorHAnsi"/>
          <w:iCs/>
        </w:rPr>
        <w:t>tilización</w:t>
      </w:r>
      <w:r w:rsidR="00980793">
        <w:rPr>
          <w:rFonts w:asciiTheme="majorHAnsi" w:hAnsiTheme="majorHAnsi" w:cstheme="majorHAnsi"/>
          <w:iCs/>
        </w:rPr>
        <w:t xml:space="preserve"> en sectores estratégicos, tales como</w:t>
      </w:r>
      <w:r>
        <w:rPr>
          <w:rFonts w:asciiTheme="majorHAnsi" w:hAnsiTheme="majorHAnsi" w:cstheme="majorHAnsi"/>
          <w:iCs/>
        </w:rPr>
        <w:t xml:space="preserve"> la seguridad energética, las tecnologías modernas requeridas para la descarbonización de la economía, la inteligencia artificial o la construcción de infraestructura. </w:t>
      </w:r>
      <w:r w:rsidR="000D6871">
        <w:rPr>
          <w:rFonts w:asciiTheme="majorHAnsi" w:hAnsiTheme="majorHAnsi" w:cstheme="majorHAnsi"/>
          <w:iCs/>
        </w:rPr>
        <w:t>A su vez</w:t>
      </w:r>
      <w:r>
        <w:rPr>
          <w:rFonts w:asciiTheme="majorHAnsi" w:hAnsiTheme="majorHAnsi" w:cstheme="majorHAnsi"/>
          <w:iCs/>
        </w:rPr>
        <w:t xml:space="preserve">, se </w:t>
      </w:r>
      <w:r w:rsidR="000D6871">
        <w:rPr>
          <w:rFonts w:asciiTheme="majorHAnsi" w:hAnsiTheme="majorHAnsi" w:cstheme="majorHAnsi"/>
          <w:iCs/>
        </w:rPr>
        <w:t>percibe</w:t>
      </w:r>
      <w:r>
        <w:rPr>
          <w:rFonts w:asciiTheme="majorHAnsi" w:hAnsiTheme="majorHAnsi" w:cstheme="majorHAnsi"/>
          <w:iCs/>
        </w:rPr>
        <w:t xml:space="preserve"> que la oferta de cobre está cada vez más limitada”</w:t>
      </w:r>
      <w:r w:rsidR="000D6871">
        <w:rPr>
          <w:rFonts w:asciiTheme="majorHAnsi" w:hAnsiTheme="majorHAnsi" w:cstheme="majorHAnsi"/>
          <w:iCs/>
        </w:rPr>
        <w:t xml:space="preserve">, </w:t>
      </w:r>
      <w:r>
        <w:rPr>
          <w:rFonts w:asciiTheme="majorHAnsi" w:hAnsiTheme="majorHAnsi" w:cstheme="majorHAnsi"/>
          <w:iCs/>
        </w:rPr>
        <w:t>aseguró Iván Arriagada.</w:t>
      </w:r>
    </w:p>
    <w:p w14:paraId="3CCCF0D0" w14:textId="77777777" w:rsidR="00980793" w:rsidRDefault="00980793">
      <w:pPr>
        <w:shd w:val="clear" w:color="auto" w:fill="FDFDFD"/>
        <w:spacing w:before="120"/>
        <w:ind w:right="191"/>
        <w:rPr>
          <w:rFonts w:asciiTheme="majorHAnsi" w:hAnsiTheme="majorHAnsi" w:cstheme="majorHAnsi"/>
          <w:iCs/>
        </w:rPr>
      </w:pPr>
    </w:p>
    <w:p w14:paraId="3084438A" w14:textId="77777777" w:rsidR="00980793" w:rsidRDefault="00980793">
      <w:pPr>
        <w:shd w:val="clear" w:color="auto" w:fill="FDFDFD"/>
        <w:spacing w:before="120"/>
        <w:ind w:right="191"/>
        <w:rPr>
          <w:rFonts w:asciiTheme="majorHAnsi" w:hAnsiTheme="majorHAnsi" w:cstheme="majorHAnsi"/>
        </w:rPr>
      </w:pPr>
    </w:p>
    <w:tbl>
      <w:tblPr>
        <w:tblW w:w="9639" w:type="dxa"/>
        <w:tblInd w:w="-5" w:type="dxa"/>
        <w:tblLook w:val="04A0" w:firstRow="1" w:lastRow="0" w:firstColumn="1" w:lastColumn="0" w:noHBand="0" w:noVBand="1"/>
      </w:tblPr>
      <w:tblGrid>
        <w:gridCol w:w="2800"/>
        <w:gridCol w:w="1067"/>
        <w:gridCol w:w="954"/>
        <w:gridCol w:w="954"/>
        <w:gridCol w:w="978"/>
        <w:gridCol w:w="954"/>
        <w:gridCol w:w="954"/>
        <w:gridCol w:w="978"/>
      </w:tblGrid>
      <w:tr w:rsidR="008A406D" w14:paraId="2E07575D" w14:textId="77777777">
        <w:trPr>
          <w:trHeight w:val="315"/>
        </w:trPr>
        <w:tc>
          <w:tcPr>
            <w:tcW w:w="3989" w:type="dxa"/>
            <w:gridSpan w:val="2"/>
            <w:tcBorders>
              <w:top w:val="single" w:sz="4" w:space="0" w:color="auto"/>
              <w:left w:val="single" w:sz="4" w:space="0" w:color="auto"/>
              <w:bottom w:val="nil"/>
              <w:right w:val="single" w:sz="4" w:space="0" w:color="000000"/>
            </w:tcBorders>
            <w:shd w:val="clear" w:color="000000" w:fill="A6A6A6"/>
            <w:vAlign w:val="center"/>
          </w:tcPr>
          <w:p w14:paraId="2675BFDC" w14:textId="77777777" w:rsidR="008A406D" w:rsidRDefault="009A6545">
            <w:pPr>
              <w:ind w:right="191"/>
              <w:rPr>
                <w:rFonts w:asciiTheme="majorHAnsi" w:hAnsiTheme="majorHAnsi" w:cstheme="majorHAnsi"/>
                <w:b/>
                <w:bCs/>
                <w:color w:val="FFFFFF"/>
                <w:lang w:val="en-GB" w:eastAsia="en-US"/>
              </w:rPr>
            </w:pPr>
            <w:r>
              <w:rPr>
                <w:rFonts w:asciiTheme="majorHAnsi" w:hAnsiTheme="majorHAnsi" w:cstheme="majorHAnsi"/>
              </w:rPr>
              <w:br w:type="page"/>
            </w:r>
            <w:r>
              <w:rPr>
                <w:rFonts w:asciiTheme="majorHAnsi" w:hAnsiTheme="majorHAnsi" w:cstheme="majorHAnsi"/>
                <w:b/>
                <w:bCs/>
                <w:color w:val="FFFFFF"/>
                <w:lang w:val="en-GB" w:eastAsia="en-US"/>
              </w:rPr>
              <w:t>PRODUCCIÓN Y COSTOS</w:t>
            </w:r>
          </w:p>
        </w:tc>
        <w:tc>
          <w:tcPr>
            <w:tcW w:w="2886" w:type="dxa"/>
            <w:gridSpan w:val="3"/>
            <w:tcBorders>
              <w:top w:val="single" w:sz="4" w:space="0" w:color="auto"/>
              <w:left w:val="nil"/>
              <w:bottom w:val="single" w:sz="4" w:space="0" w:color="auto"/>
              <w:right w:val="single" w:sz="4" w:space="0" w:color="000000"/>
            </w:tcBorders>
            <w:shd w:val="clear" w:color="000000" w:fill="A6A6A6"/>
            <w:vAlign w:val="center"/>
          </w:tcPr>
          <w:p w14:paraId="0E4E155F" w14:textId="77777777" w:rsidR="008A406D" w:rsidRDefault="009A6545">
            <w:pPr>
              <w:ind w:right="191"/>
              <w:jc w:val="center"/>
              <w:rPr>
                <w:rFonts w:asciiTheme="majorHAnsi" w:hAnsiTheme="majorHAnsi" w:cstheme="majorHAnsi"/>
                <w:b/>
                <w:bCs/>
                <w:color w:val="FFFFFF"/>
                <w:lang w:eastAsia="en-US"/>
              </w:rPr>
            </w:pPr>
            <w:r>
              <w:rPr>
                <w:rFonts w:asciiTheme="majorHAnsi" w:hAnsiTheme="majorHAnsi" w:cstheme="majorHAnsi"/>
                <w:b/>
                <w:bCs/>
                <w:color w:val="FFFFFF"/>
                <w:lang w:eastAsia="en-US"/>
              </w:rPr>
              <w:t>Primer semestre</w:t>
            </w:r>
          </w:p>
        </w:tc>
        <w:tc>
          <w:tcPr>
            <w:tcW w:w="954" w:type="dxa"/>
            <w:tcBorders>
              <w:top w:val="single" w:sz="4" w:space="0" w:color="auto"/>
              <w:left w:val="nil"/>
              <w:bottom w:val="single" w:sz="4" w:space="0" w:color="auto"/>
              <w:right w:val="nil"/>
            </w:tcBorders>
            <w:shd w:val="clear" w:color="000000" w:fill="A6A6A6"/>
            <w:vAlign w:val="center"/>
          </w:tcPr>
          <w:p w14:paraId="649684B3" w14:textId="77777777" w:rsidR="008A406D" w:rsidRDefault="009A6545">
            <w:pPr>
              <w:ind w:right="191"/>
              <w:jc w:val="right"/>
              <w:rPr>
                <w:rFonts w:asciiTheme="majorHAnsi" w:hAnsiTheme="majorHAnsi" w:cstheme="majorHAnsi"/>
                <w:b/>
                <w:bCs/>
                <w:color w:val="FFFFFF"/>
                <w:lang w:eastAsia="en-US"/>
              </w:rPr>
            </w:pPr>
            <w:r>
              <w:rPr>
                <w:rFonts w:asciiTheme="majorHAnsi" w:hAnsiTheme="majorHAnsi" w:cstheme="majorHAnsi"/>
                <w:b/>
                <w:bCs/>
                <w:color w:val="FFFFFF"/>
                <w:lang w:eastAsia="en-US"/>
              </w:rPr>
              <w:t>Q2</w:t>
            </w:r>
          </w:p>
        </w:tc>
        <w:tc>
          <w:tcPr>
            <w:tcW w:w="954" w:type="dxa"/>
            <w:tcBorders>
              <w:top w:val="single" w:sz="4" w:space="0" w:color="auto"/>
              <w:left w:val="nil"/>
              <w:bottom w:val="single" w:sz="4" w:space="0" w:color="auto"/>
              <w:right w:val="nil"/>
            </w:tcBorders>
            <w:shd w:val="clear" w:color="000000" w:fill="A6A6A6"/>
            <w:vAlign w:val="center"/>
          </w:tcPr>
          <w:p w14:paraId="7D6DA0CA" w14:textId="77777777" w:rsidR="008A406D" w:rsidRDefault="009A6545">
            <w:pPr>
              <w:pStyle w:val="Ttulo6"/>
              <w:ind w:right="191"/>
              <w:rPr>
                <w:rFonts w:asciiTheme="majorHAnsi" w:hAnsiTheme="majorHAnsi" w:cstheme="majorHAnsi"/>
                <w:sz w:val="24"/>
                <w:szCs w:val="24"/>
              </w:rPr>
            </w:pPr>
            <w:r>
              <w:rPr>
                <w:rFonts w:asciiTheme="majorHAnsi" w:hAnsiTheme="majorHAnsi" w:cstheme="majorHAnsi"/>
                <w:sz w:val="24"/>
                <w:szCs w:val="24"/>
              </w:rPr>
              <w:t>Q1</w:t>
            </w:r>
          </w:p>
        </w:tc>
        <w:tc>
          <w:tcPr>
            <w:tcW w:w="856" w:type="dxa"/>
            <w:tcBorders>
              <w:top w:val="single" w:sz="4" w:space="0" w:color="auto"/>
              <w:left w:val="nil"/>
              <w:bottom w:val="single" w:sz="4" w:space="0" w:color="auto"/>
              <w:right w:val="single" w:sz="4" w:space="0" w:color="auto"/>
            </w:tcBorders>
            <w:shd w:val="clear" w:color="000000" w:fill="A6A6A6"/>
            <w:vAlign w:val="center"/>
          </w:tcPr>
          <w:p w14:paraId="71BE5672" w14:textId="77777777" w:rsidR="008A406D" w:rsidRDefault="009A6545">
            <w:pPr>
              <w:ind w:right="191"/>
              <w:rPr>
                <w:rFonts w:asciiTheme="majorHAnsi" w:hAnsiTheme="majorHAnsi" w:cstheme="majorHAnsi"/>
                <w:color w:val="FFFFFF"/>
                <w:lang w:eastAsia="en-US"/>
              </w:rPr>
            </w:pPr>
            <w:r>
              <w:rPr>
                <w:rFonts w:asciiTheme="majorHAnsi" w:hAnsiTheme="majorHAnsi" w:cstheme="majorHAnsi"/>
                <w:color w:val="FFFFFF"/>
                <w:lang w:eastAsia="en-US"/>
              </w:rPr>
              <w:t> </w:t>
            </w:r>
          </w:p>
        </w:tc>
      </w:tr>
      <w:tr w:rsidR="008A406D" w14:paraId="16ECCE65" w14:textId="77777777">
        <w:trPr>
          <w:trHeight w:val="315"/>
        </w:trPr>
        <w:tc>
          <w:tcPr>
            <w:tcW w:w="2922" w:type="dxa"/>
            <w:tcBorders>
              <w:top w:val="nil"/>
              <w:left w:val="single" w:sz="4" w:space="0" w:color="auto"/>
              <w:bottom w:val="single" w:sz="4" w:space="0" w:color="auto"/>
              <w:right w:val="nil"/>
            </w:tcBorders>
            <w:shd w:val="clear" w:color="000000" w:fill="A6A6A6"/>
            <w:vAlign w:val="center"/>
          </w:tcPr>
          <w:p w14:paraId="6AAF5FAD" w14:textId="77777777" w:rsidR="008A406D" w:rsidRDefault="009A6545">
            <w:pPr>
              <w:ind w:right="191"/>
              <w:rPr>
                <w:rFonts w:asciiTheme="majorHAnsi" w:hAnsiTheme="majorHAnsi" w:cstheme="majorHAnsi"/>
                <w:color w:val="FFFFFF"/>
                <w:lang w:eastAsia="en-US"/>
              </w:rPr>
            </w:pPr>
            <w:r>
              <w:rPr>
                <w:rFonts w:asciiTheme="majorHAnsi" w:hAnsiTheme="majorHAnsi" w:cstheme="majorHAnsi"/>
                <w:color w:val="FFFFFF"/>
                <w:lang w:eastAsia="en-US"/>
              </w:rPr>
              <w:t> </w:t>
            </w:r>
          </w:p>
        </w:tc>
        <w:tc>
          <w:tcPr>
            <w:tcW w:w="1067" w:type="dxa"/>
            <w:tcBorders>
              <w:top w:val="nil"/>
              <w:left w:val="nil"/>
              <w:bottom w:val="single" w:sz="4" w:space="0" w:color="auto"/>
              <w:right w:val="single" w:sz="4" w:space="0" w:color="auto"/>
            </w:tcBorders>
            <w:shd w:val="clear" w:color="000000" w:fill="A6A6A6"/>
            <w:vAlign w:val="center"/>
          </w:tcPr>
          <w:p w14:paraId="64F66855" w14:textId="77777777" w:rsidR="008A406D" w:rsidRDefault="009A6545">
            <w:pPr>
              <w:ind w:right="191"/>
              <w:rPr>
                <w:rFonts w:asciiTheme="majorHAnsi" w:hAnsiTheme="majorHAnsi" w:cstheme="majorHAnsi"/>
                <w:color w:val="FFFFFF"/>
                <w:lang w:eastAsia="en-US"/>
              </w:rPr>
            </w:pPr>
            <w:r>
              <w:rPr>
                <w:rFonts w:asciiTheme="majorHAnsi" w:hAnsiTheme="majorHAnsi" w:cstheme="majorHAnsi"/>
                <w:color w:val="FFFFFF"/>
                <w:lang w:eastAsia="en-US"/>
              </w:rPr>
              <w:t> </w:t>
            </w:r>
          </w:p>
        </w:tc>
        <w:tc>
          <w:tcPr>
            <w:tcW w:w="954" w:type="dxa"/>
            <w:tcBorders>
              <w:top w:val="nil"/>
              <w:left w:val="nil"/>
              <w:bottom w:val="single" w:sz="4" w:space="0" w:color="auto"/>
              <w:right w:val="nil"/>
            </w:tcBorders>
            <w:shd w:val="clear" w:color="000000" w:fill="A6A6A6"/>
            <w:vAlign w:val="center"/>
          </w:tcPr>
          <w:p w14:paraId="5C0D61B7" w14:textId="77777777" w:rsidR="008A406D" w:rsidRDefault="009A6545">
            <w:pPr>
              <w:ind w:right="191"/>
              <w:jc w:val="right"/>
              <w:rPr>
                <w:rFonts w:asciiTheme="majorHAnsi" w:hAnsiTheme="majorHAnsi" w:cstheme="majorHAnsi"/>
                <w:b/>
                <w:bCs/>
                <w:color w:val="FFFFFF"/>
                <w:lang w:eastAsia="en-US"/>
              </w:rPr>
            </w:pPr>
            <w:r>
              <w:rPr>
                <w:rFonts w:asciiTheme="majorHAnsi" w:hAnsiTheme="majorHAnsi" w:cstheme="majorHAnsi"/>
                <w:b/>
                <w:bCs/>
                <w:color w:val="FFFFFF"/>
                <w:lang w:eastAsia="en-US"/>
              </w:rPr>
              <w:t>2025</w:t>
            </w:r>
          </w:p>
        </w:tc>
        <w:tc>
          <w:tcPr>
            <w:tcW w:w="954" w:type="dxa"/>
            <w:tcBorders>
              <w:top w:val="nil"/>
              <w:left w:val="nil"/>
              <w:bottom w:val="single" w:sz="4" w:space="0" w:color="auto"/>
              <w:right w:val="nil"/>
            </w:tcBorders>
            <w:shd w:val="clear" w:color="000000" w:fill="A6A6A6"/>
            <w:vAlign w:val="center"/>
          </w:tcPr>
          <w:p w14:paraId="086A8559" w14:textId="77777777" w:rsidR="008A406D" w:rsidRDefault="009A6545">
            <w:pPr>
              <w:ind w:right="191"/>
              <w:jc w:val="right"/>
              <w:rPr>
                <w:rFonts w:asciiTheme="majorHAnsi" w:hAnsiTheme="majorHAnsi" w:cstheme="majorHAnsi"/>
                <w:color w:val="FFFFFF"/>
                <w:lang w:eastAsia="en-US"/>
              </w:rPr>
            </w:pPr>
            <w:r>
              <w:rPr>
                <w:rFonts w:asciiTheme="majorHAnsi" w:hAnsiTheme="majorHAnsi" w:cstheme="majorHAnsi"/>
                <w:color w:val="FFFFFF"/>
                <w:lang w:eastAsia="en-US"/>
              </w:rPr>
              <w:t>2024</w:t>
            </w:r>
          </w:p>
        </w:tc>
        <w:tc>
          <w:tcPr>
            <w:tcW w:w="978" w:type="dxa"/>
            <w:tcBorders>
              <w:top w:val="nil"/>
              <w:left w:val="nil"/>
              <w:bottom w:val="single" w:sz="4" w:space="0" w:color="auto"/>
              <w:right w:val="single" w:sz="4" w:space="0" w:color="auto"/>
            </w:tcBorders>
            <w:shd w:val="clear" w:color="000000" w:fill="A6A6A6"/>
            <w:vAlign w:val="center"/>
          </w:tcPr>
          <w:p w14:paraId="798A4EF7" w14:textId="77777777" w:rsidR="008A406D" w:rsidRDefault="009A6545">
            <w:pPr>
              <w:ind w:right="191"/>
              <w:jc w:val="right"/>
              <w:rPr>
                <w:rFonts w:asciiTheme="majorHAnsi" w:hAnsiTheme="majorHAnsi" w:cstheme="majorHAnsi"/>
                <w:b/>
                <w:bCs/>
                <w:color w:val="FFFFFF"/>
                <w:lang w:eastAsia="en-US"/>
              </w:rPr>
            </w:pPr>
            <w:r>
              <w:rPr>
                <w:rFonts w:asciiTheme="majorHAnsi" w:hAnsiTheme="majorHAnsi" w:cstheme="majorHAnsi"/>
                <w:b/>
                <w:bCs/>
                <w:color w:val="FFFFFF"/>
                <w:lang w:eastAsia="en-US"/>
              </w:rPr>
              <w:t>%</w:t>
            </w:r>
          </w:p>
        </w:tc>
        <w:tc>
          <w:tcPr>
            <w:tcW w:w="954" w:type="dxa"/>
            <w:tcBorders>
              <w:top w:val="nil"/>
              <w:left w:val="nil"/>
              <w:bottom w:val="single" w:sz="4" w:space="0" w:color="auto"/>
              <w:right w:val="nil"/>
            </w:tcBorders>
            <w:shd w:val="clear" w:color="000000" w:fill="A6A6A6"/>
            <w:vAlign w:val="center"/>
          </w:tcPr>
          <w:p w14:paraId="4A045D4E" w14:textId="77777777" w:rsidR="008A406D" w:rsidRDefault="009A6545">
            <w:pPr>
              <w:ind w:right="191"/>
              <w:jc w:val="right"/>
              <w:rPr>
                <w:rFonts w:asciiTheme="majorHAnsi" w:hAnsiTheme="majorHAnsi" w:cstheme="majorHAnsi"/>
                <w:b/>
                <w:bCs/>
                <w:color w:val="FFFFFF"/>
                <w:lang w:eastAsia="en-US"/>
              </w:rPr>
            </w:pPr>
            <w:r>
              <w:rPr>
                <w:rFonts w:asciiTheme="majorHAnsi" w:hAnsiTheme="majorHAnsi" w:cstheme="majorHAnsi"/>
                <w:b/>
                <w:bCs/>
                <w:color w:val="FFFFFF"/>
                <w:lang w:eastAsia="en-US"/>
              </w:rPr>
              <w:t>2025</w:t>
            </w:r>
          </w:p>
        </w:tc>
        <w:tc>
          <w:tcPr>
            <w:tcW w:w="954" w:type="dxa"/>
            <w:tcBorders>
              <w:top w:val="nil"/>
              <w:left w:val="nil"/>
              <w:bottom w:val="single" w:sz="4" w:space="0" w:color="auto"/>
              <w:right w:val="nil"/>
            </w:tcBorders>
            <w:shd w:val="clear" w:color="000000" w:fill="A6A6A6"/>
            <w:vAlign w:val="center"/>
          </w:tcPr>
          <w:p w14:paraId="247C51AE" w14:textId="77777777" w:rsidR="008A406D" w:rsidRDefault="009A6545">
            <w:pPr>
              <w:ind w:right="191"/>
              <w:jc w:val="right"/>
              <w:rPr>
                <w:rFonts w:asciiTheme="majorHAnsi" w:hAnsiTheme="majorHAnsi" w:cstheme="majorHAnsi"/>
                <w:color w:val="FFFFFF"/>
                <w:lang w:eastAsia="en-US"/>
              </w:rPr>
            </w:pPr>
            <w:r>
              <w:rPr>
                <w:rFonts w:asciiTheme="majorHAnsi" w:hAnsiTheme="majorHAnsi" w:cstheme="majorHAnsi"/>
                <w:color w:val="FFFFFF"/>
                <w:lang w:eastAsia="en-US"/>
              </w:rPr>
              <w:t>2025</w:t>
            </w:r>
          </w:p>
        </w:tc>
        <w:tc>
          <w:tcPr>
            <w:tcW w:w="856" w:type="dxa"/>
            <w:tcBorders>
              <w:top w:val="nil"/>
              <w:left w:val="nil"/>
              <w:bottom w:val="single" w:sz="4" w:space="0" w:color="auto"/>
              <w:right w:val="single" w:sz="4" w:space="0" w:color="auto"/>
            </w:tcBorders>
            <w:shd w:val="clear" w:color="000000" w:fill="A6A6A6"/>
            <w:vAlign w:val="center"/>
          </w:tcPr>
          <w:p w14:paraId="5056399B" w14:textId="77777777" w:rsidR="008A406D" w:rsidRDefault="009A6545">
            <w:pPr>
              <w:ind w:right="191"/>
              <w:jc w:val="right"/>
              <w:rPr>
                <w:rFonts w:asciiTheme="majorHAnsi" w:hAnsiTheme="majorHAnsi" w:cstheme="majorHAnsi"/>
                <w:b/>
                <w:bCs/>
                <w:color w:val="FFFFFF"/>
                <w:lang w:eastAsia="en-US"/>
              </w:rPr>
            </w:pPr>
            <w:r>
              <w:rPr>
                <w:rFonts w:asciiTheme="majorHAnsi" w:hAnsiTheme="majorHAnsi" w:cstheme="majorHAnsi"/>
                <w:b/>
                <w:bCs/>
                <w:color w:val="FFFFFF"/>
                <w:lang w:eastAsia="en-US"/>
              </w:rPr>
              <w:t>%</w:t>
            </w:r>
          </w:p>
        </w:tc>
      </w:tr>
      <w:tr w:rsidR="008A406D" w14:paraId="3C670596" w14:textId="77777777">
        <w:trPr>
          <w:trHeight w:val="227"/>
        </w:trPr>
        <w:tc>
          <w:tcPr>
            <w:tcW w:w="2922" w:type="dxa"/>
            <w:tcBorders>
              <w:top w:val="nil"/>
              <w:left w:val="single" w:sz="4" w:space="0" w:color="auto"/>
              <w:bottom w:val="nil"/>
              <w:right w:val="nil"/>
            </w:tcBorders>
            <w:shd w:val="clear" w:color="auto" w:fill="auto"/>
            <w:vAlign w:val="center"/>
          </w:tcPr>
          <w:p w14:paraId="15B6BF6D"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rPr>
              <w:t xml:space="preserve">Producción de cobre </w:t>
            </w:r>
            <w:r>
              <w:rPr>
                <w:rFonts w:asciiTheme="majorHAnsi" w:hAnsiTheme="majorHAnsi" w:cstheme="majorHAnsi"/>
                <w:color w:val="000000"/>
                <w:vertAlign w:val="superscript"/>
              </w:rPr>
              <w:t xml:space="preserve"> </w:t>
            </w:r>
          </w:p>
        </w:tc>
        <w:tc>
          <w:tcPr>
            <w:tcW w:w="1067" w:type="dxa"/>
            <w:tcBorders>
              <w:top w:val="nil"/>
              <w:left w:val="nil"/>
              <w:bottom w:val="nil"/>
              <w:right w:val="single" w:sz="4" w:space="0" w:color="auto"/>
            </w:tcBorders>
            <w:shd w:val="clear" w:color="auto" w:fill="auto"/>
            <w:vAlign w:val="center"/>
          </w:tcPr>
          <w:p w14:paraId="1EDA7E0F"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eastAsia="en-US"/>
              </w:rPr>
              <w:t>Kt</w:t>
            </w:r>
          </w:p>
        </w:tc>
        <w:tc>
          <w:tcPr>
            <w:tcW w:w="954" w:type="dxa"/>
            <w:tcBorders>
              <w:top w:val="nil"/>
              <w:left w:val="nil"/>
              <w:bottom w:val="nil"/>
              <w:right w:val="nil"/>
            </w:tcBorders>
            <w:shd w:val="clear" w:color="000000" w:fill="D9D9D9"/>
            <w:vAlign w:val="center"/>
          </w:tcPr>
          <w:p w14:paraId="3F22C789"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314,9 </w:t>
            </w:r>
          </w:p>
        </w:tc>
        <w:tc>
          <w:tcPr>
            <w:tcW w:w="954" w:type="dxa"/>
            <w:tcBorders>
              <w:top w:val="nil"/>
              <w:left w:val="nil"/>
              <w:bottom w:val="nil"/>
              <w:right w:val="nil"/>
            </w:tcBorders>
            <w:shd w:val="clear" w:color="auto" w:fill="auto"/>
            <w:vAlign w:val="center"/>
          </w:tcPr>
          <w:p w14:paraId="344DB48D"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284,7 </w:t>
            </w:r>
          </w:p>
        </w:tc>
        <w:tc>
          <w:tcPr>
            <w:tcW w:w="978" w:type="dxa"/>
            <w:tcBorders>
              <w:top w:val="nil"/>
              <w:left w:val="nil"/>
              <w:bottom w:val="nil"/>
              <w:right w:val="single" w:sz="4" w:space="0" w:color="auto"/>
            </w:tcBorders>
            <w:shd w:val="clear" w:color="auto" w:fill="auto"/>
            <w:vAlign w:val="center"/>
          </w:tcPr>
          <w:p w14:paraId="241460A3"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10,6 </w:t>
            </w:r>
          </w:p>
        </w:tc>
        <w:tc>
          <w:tcPr>
            <w:tcW w:w="954" w:type="dxa"/>
            <w:tcBorders>
              <w:top w:val="nil"/>
              <w:left w:val="nil"/>
              <w:bottom w:val="nil"/>
              <w:right w:val="nil"/>
            </w:tcBorders>
            <w:shd w:val="clear" w:color="000000" w:fill="D9D9D9"/>
            <w:vAlign w:val="center"/>
          </w:tcPr>
          <w:p w14:paraId="3CCC17C5"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160,3 </w:t>
            </w:r>
          </w:p>
        </w:tc>
        <w:tc>
          <w:tcPr>
            <w:tcW w:w="954" w:type="dxa"/>
            <w:tcBorders>
              <w:top w:val="nil"/>
              <w:left w:val="nil"/>
              <w:bottom w:val="nil"/>
              <w:right w:val="nil"/>
            </w:tcBorders>
            <w:shd w:val="clear" w:color="auto" w:fill="auto"/>
            <w:vAlign w:val="center"/>
          </w:tcPr>
          <w:p w14:paraId="7CB8B023"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154,7 </w:t>
            </w:r>
          </w:p>
        </w:tc>
        <w:tc>
          <w:tcPr>
            <w:tcW w:w="856" w:type="dxa"/>
            <w:tcBorders>
              <w:top w:val="nil"/>
              <w:left w:val="nil"/>
              <w:bottom w:val="nil"/>
              <w:right w:val="single" w:sz="4" w:space="0" w:color="auto"/>
            </w:tcBorders>
            <w:shd w:val="clear" w:color="auto" w:fill="auto"/>
            <w:vAlign w:val="center"/>
          </w:tcPr>
          <w:p w14:paraId="544A2B2B" w14:textId="77777777" w:rsidR="008A406D" w:rsidRDefault="009A6545">
            <w:pPr>
              <w:ind w:right="191"/>
              <w:jc w:val="center"/>
              <w:rPr>
                <w:rFonts w:asciiTheme="majorHAnsi" w:hAnsiTheme="majorHAnsi" w:cstheme="majorHAnsi"/>
                <w:color w:val="FF0000"/>
                <w:highlight w:val="yellow"/>
                <w:lang w:eastAsia="en-US"/>
              </w:rPr>
            </w:pPr>
            <w:r>
              <w:rPr>
                <w:rFonts w:asciiTheme="majorHAnsi" w:hAnsiTheme="majorHAnsi" w:cstheme="majorHAnsi"/>
              </w:rPr>
              <w:t xml:space="preserve">    3,5 </w:t>
            </w:r>
          </w:p>
        </w:tc>
      </w:tr>
      <w:tr w:rsidR="008A406D" w14:paraId="2DF60465" w14:textId="77777777">
        <w:trPr>
          <w:trHeight w:val="227"/>
        </w:trPr>
        <w:tc>
          <w:tcPr>
            <w:tcW w:w="2922" w:type="dxa"/>
            <w:tcBorders>
              <w:top w:val="nil"/>
              <w:left w:val="single" w:sz="4" w:space="0" w:color="auto"/>
              <w:bottom w:val="nil"/>
              <w:right w:val="nil"/>
            </w:tcBorders>
            <w:shd w:val="clear" w:color="auto" w:fill="auto"/>
            <w:vAlign w:val="center"/>
          </w:tcPr>
          <w:p w14:paraId="574E13B9"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rPr>
              <w:t>Producción de oro</w:t>
            </w:r>
          </w:p>
        </w:tc>
        <w:tc>
          <w:tcPr>
            <w:tcW w:w="1067" w:type="dxa"/>
            <w:tcBorders>
              <w:top w:val="nil"/>
              <w:left w:val="nil"/>
              <w:bottom w:val="nil"/>
              <w:right w:val="single" w:sz="4" w:space="0" w:color="auto"/>
            </w:tcBorders>
            <w:shd w:val="clear" w:color="000000" w:fill="FFFFFF"/>
            <w:vAlign w:val="center"/>
          </w:tcPr>
          <w:p w14:paraId="69577DF1"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eastAsia="en-US"/>
              </w:rPr>
              <w:t>Koz</w:t>
            </w:r>
          </w:p>
        </w:tc>
        <w:tc>
          <w:tcPr>
            <w:tcW w:w="954" w:type="dxa"/>
            <w:tcBorders>
              <w:top w:val="nil"/>
              <w:left w:val="nil"/>
              <w:bottom w:val="nil"/>
              <w:right w:val="nil"/>
            </w:tcBorders>
            <w:shd w:val="clear" w:color="000000" w:fill="D9D9D9"/>
            <w:vAlign w:val="center"/>
          </w:tcPr>
          <w:p w14:paraId="5C87694E"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91,2 </w:t>
            </w:r>
          </w:p>
        </w:tc>
        <w:tc>
          <w:tcPr>
            <w:tcW w:w="954" w:type="dxa"/>
            <w:tcBorders>
              <w:top w:val="nil"/>
              <w:left w:val="nil"/>
              <w:bottom w:val="nil"/>
              <w:right w:val="nil"/>
            </w:tcBorders>
            <w:shd w:val="clear" w:color="auto" w:fill="auto"/>
            <w:vAlign w:val="center"/>
          </w:tcPr>
          <w:p w14:paraId="51DFBE9C"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66,9 </w:t>
            </w:r>
          </w:p>
        </w:tc>
        <w:tc>
          <w:tcPr>
            <w:tcW w:w="978" w:type="dxa"/>
            <w:tcBorders>
              <w:top w:val="nil"/>
              <w:left w:val="nil"/>
              <w:bottom w:val="nil"/>
              <w:right w:val="single" w:sz="4" w:space="0" w:color="auto"/>
            </w:tcBorders>
            <w:shd w:val="clear" w:color="auto" w:fill="auto"/>
            <w:vAlign w:val="center"/>
          </w:tcPr>
          <w:p w14:paraId="0FA04862"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36,3 </w:t>
            </w:r>
          </w:p>
        </w:tc>
        <w:tc>
          <w:tcPr>
            <w:tcW w:w="954" w:type="dxa"/>
            <w:tcBorders>
              <w:top w:val="nil"/>
              <w:left w:val="nil"/>
              <w:bottom w:val="nil"/>
              <w:right w:val="nil"/>
            </w:tcBorders>
            <w:shd w:val="clear" w:color="000000" w:fill="D9D9D9"/>
            <w:vAlign w:val="center"/>
          </w:tcPr>
          <w:p w14:paraId="130585AF"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48,3 </w:t>
            </w:r>
          </w:p>
        </w:tc>
        <w:tc>
          <w:tcPr>
            <w:tcW w:w="954" w:type="dxa"/>
            <w:tcBorders>
              <w:top w:val="nil"/>
              <w:left w:val="nil"/>
              <w:bottom w:val="nil"/>
              <w:right w:val="nil"/>
            </w:tcBorders>
            <w:shd w:val="clear" w:color="auto" w:fill="auto"/>
            <w:vAlign w:val="center"/>
          </w:tcPr>
          <w:p w14:paraId="55E6593F"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42,9 </w:t>
            </w:r>
          </w:p>
        </w:tc>
        <w:tc>
          <w:tcPr>
            <w:tcW w:w="856" w:type="dxa"/>
            <w:tcBorders>
              <w:top w:val="nil"/>
              <w:left w:val="nil"/>
              <w:bottom w:val="nil"/>
              <w:right w:val="single" w:sz="4" w:space="0" w:color="auto"/>
            </w:tcBorders>
            <w:shd w:val="clear" w:color="auto" w:fill="auto"/>
            <w:vAlign w:val="center"/>
          </w:tcPr>
          <w:p w14:paraId="00FABB74" w14:textId="77777777" w:rsidR="008A406D" w:rsidRDefault="009A6545">
            <w:pPr>
              <w:ind w:right="191"/>
              <w:jc w:val="center"/>
              <w:rPr>
                <w:rFonts w:asciiTheme="majorHAnsi" w:hAnsiTheme="majorHAnsi" w:cstheme="majorHAnsi"/>
                <w:color w:val="FF0000"/>
                <w:highlight w:val="yellow"/>
                <w:lang w:eastAsia="en-US"/>
              </w:rPr>
            </w:pPr>
            <w:r>
              <w:rPr>
                <w:rFonts w:asciiTheme="majorHAnsi" w:hAnsiTheme="majorHAnsi" w:cstheme="majorHAnsi"/>
              </w:rPr>
              <w:t xml:space="preserve">  12,6 </w:t>
            </w:r>
          </w:p>
        </w:tc>
      </w:tr>
      <w:tr w:rsidR="008A406D" w14:paraId="23C80C2B" w14:textId="77777777">
        <w:trPr>
          <w:trHeight w:val="227"/>
        </w:trPr>
        <w:tc>
          <w:tcPr>
            <w:tcW w:w="2922" w:type="dxa"/>
            <w:tcBorders>
              <w:top w:val="nil"/>
              <w:left w:val="single" w:sz="4" w:space="0" w:color="auto"/>
              <w:bottom w:val="single" w:sz="4" w:space="0" w:color="auto"/>
              <w:right w:val="nil"/>
            </w:tcBorders>
            <w:shd w:val="clear" w:color="auto" w:fill="auto"/>
            <w:vAlign w:val="center"/>
          </w:tcPr>
          <w:p w14:paraId="52135375"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rPr>
              <w:t>Producción de molibdeno</w:t>
            </w:r>
          </w:p>
        </w:tc>
        <w:tc>
          <w:tcPr>
            <w:tcW w:w="1067" w:type="dxa"/>
            <w:tcBorders>
              <w:top w:val="nil"/>
              <w:left w:val="nil"/>
              <w:bottom w:val="single" w:sz="4" w:space="0" w:color="auto"/>
              <w:right w:val="single" w:sz="4" w:space="0" w:color="auto"/>
            </w:tcBorders>
            <w:shd w:val="clear" w:color="000000" w:fill="FFFFFF"/>
            <w:vAlign w:val="center"/>
          </w:tcPr>
          <w:p w14:paraId="4A75A0C2"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eastAsia="en-US"/>
              </w:rPr>
              <w:t>Kt</w:t>
            </w:r>
          </w:p>
        </w:tc>
        <w:tc>
          <w:tcPr>
            <w:tcW w:w="954" w:type="dxa"/>
            <w:tcBorders>
              <w:top w:val="nil"/>
              <w:left w:val="nil"/>
              <w:bottom w:val="single" w:sz="4" w:space="0" w:color="auto"/>
              <w:right w:val="nil"/>
            </w:tcBorders>
            <w:shd w:val="clear" w:color="000000" w:fill="D9D9D9"/>
            <w:vAlign w:val="center"/>
          </w:tcPr>
          <w:p w14:paraId="1DA50E31"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7,4 </w:t>
            </w:r>
          </w:p>
        </w:tc>
        <w:tc>
          <w:tcPr>
            <w:tcW w:w="954" w:type="dxa"/>
            <w:tcBorders>
              <w:top w:val="nil"/>
              <w:left w:val="nil"/>
              <w:bottom w:val="single" w:sz="4" w:space="0" w:color="auto"/>
              <w:right w:val="nil"/>
            </w:tcBorders>
            <w:shd w:val="clear" w:color="auto" w:fill="auto"/>
            <w:vAlign w:val="center"/>
          </w:tcPr>
          <w:p w14:paraId="601E2DDD"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5,2 </w:t>
            </w:r>
          </w:p>
        </w:tc>
        <w:tc>
          <w:tcPr>
            <w:tcW w:w="978" w:type="dxa"/>
            <w:tcBorders>
              <w:top w:val="nil"/>
              <w:left w:val="nil"/>
              <w:bottom w:val="single" w:sz="4" w:space="0" w:color="auto"/>
              <w:right w:val="single" w:sz="4" w:space="0" w:color="auto"/>
            </w:tcBorders>
            <w:shd w:val="clear" w:color="auto" w:fill="auto"/>
            <w:vAlign w:val="center"/>
          </w:tcPr>
          <w:p w14:paraId="00D25CBE" w14:textId="77777777" w:rsidR="008A406D" w:rsidRDefault="009A6545">
            <w:pPr>
              <w:ind w:right="191"/>
              <w:jc w:val="center"/>
              <w:rPr>
                <w:rFonts w:asciiTheme="majorHAnsi" w:hAnsiTheme="majorHAnsi" w:cstheme="majorHAnsi"/>
                <w:color w:val="FF0000"/>
                <w:highlight w:val="yellow"/>
                <w:lang w:eastAsia="en-US"/>
              </w:rPr>
            </w:pPr>
            <w:r>
              <w:rPr>
                <w:rFonts w:asciiTheme="majorHAnsi" w:hAnsiTheme="majorHAnsi" w:cstheme="majorHAnsi"/>
              </w:rPr>
              <w:t xml:space="preserve">  42,3 </w:t>
            </w:r>
          </w:p>
        </w:tc>
        <w:tc>
          <w:tcPr>
            <w:tcW w:w="954" w:type="dxa"/>
            <w:tcBorders>
              <w:top w:val="nil"/>
              <w:left w:val="nil"/>
              <w:bottom w:val="single" w:sz="4" w:space="0" w:color="auto"/>
              <w:right w:val="nil"/>
            </w:tcBorders>
            <w:shd w:val="clear" w:color="000000" w:fill="D9D9D9"/>
            <w:vAlign w:val="center"/>
          </w:tcPr>
          <w:p w14:paraId="213C9641"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4,4 </w:t>
            </w:r>
          </w:p>
        </w:tc>
        <w:tc>
          <w:tcPr>
            <w:tcW w:w="954" w:type="dxa"/>
            <w:tcBorders>
              <w:top w:val="nil"/>
              <w:left w:val="nil"/>
              <w:bottom w:val="single" w:sz="4" w:space="0" w:color="auto"/>
              <w:right w:val="nil"/>
            </w:tcBorders>
            <w:shd w:val="clear" w:color="auto" w:fill="auto"/>
            <w:vAlign w:val="center"/>
          </w:tcPr>
          <w:p w14:paraId="2C5CFC0E"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 xml:space="preserve">3,1 </w:t>
            </w:r>
          </w:p>
        </w:tc>
        <w:tc>
          <w:tcPr>
            <w:tcW w:w="856" w:type="dxa"/>
            <w:tcBorders>
              <w:top w:val="nil"/>
              <w:left w:val="nil"/>
              <w:bottom w:val="single" w:sz="4" w:space="0" w:color="auto"/>
              <w:right w:val="single" w:sz="4" w:space="0" w:color="auto"/>
            </w:tcBorders>
            <w:shd w:val="clear" w:color="auto" w:fill="auto"/>
            <w:vAlign w:val="center"/>
          </w:tcPr>
          <w:p w14:paraId="063E6C29" w14:textId="77777777" w:rsidR="008A406D" w:rsidRDefault="009A6545">
            <w:pPr>
              <w:ind w:right="191"/>
              <w:jc w:val="center"/>
              <w:rPr>
                <w:rFonts w:asciiTheme="majorHAnsi" w:hAnsiTheme="majorHAnsi" w:cstheme="majorHAnsi"/>
                <w:color w:val="FF0000"/>
                <w:highlight w:val="yellow"/>
                <w:lang w:eastAsia="en-US"/>
              </w:rPr>
            </w:pPr>
            <w:r>
              <w:rPr>
                <w:rFonts w:asciiTheme="majorHAnsi" w:hAnsiTheme="majorHAnsi" w:cstheme="majorHAnsi"/>
              </w:rPr>
              <w:t xml:space="preserve"> 41,9</w:t>
            </w:r>
          </w:p>
        </w:tc>
      </w:tr>
      <w:tr w:rsidR="008A406D" w14:paraId="73D0304B" w14:textId="77777777">
        <w:trPr>
          <w:trHeight w:val="227"/>
        </w:trPr>
        <w:tc>
          <w:tcPr>
            <w:tcW w:w="2922" w:type="dxa"/>
            <w:tcBorders>
              <w:top w:val="nil"/>
              <w:left w:val="single" w:sz="4" w:space="0" w:color="auto"/>
              <w:bottom w:val="nil"/>
              <w:right w:val="nil"/>
            </w:tcBorders>
            <w:shd w:val="clear" w:color="auto" w:fill="auto"/>
            <w:vAlign w:val="center"/>
          </w:tcPr>
          <w:p w14:paraId="4C879058"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rPr>
              <w:t>Costo neto antes del crédito por subproductos</w:t>
            </w:r>
          </w:p>
        </w:tc>
        <w:tc>
          <w:tcPr>
            <w:tcW w:w="1067" w:type="dxa"/>
            <w:tcBorders>
              <w:top w:val="nil"/>
              <w:left w:val="nil"/>
              <w:bottom w:val="nil"/>
              <w:right w:val="single" w:sz="4" w:space="0" w:color="auto"/>
            </w:tcBorders>
            <w:shd w:val="clear" w:color="000000" w:fill="FFFFFF"/>
            <w:vAlign w:val="center"/>
          </w:tcPr>
          <w:p w14:paraId="07B96371"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eastAsia="en-US"/>
              </w:rPr>
              <w:t>US$/lb</w:t>
            </w:r>
          </w:p>
        </w:tc>
        <w:tc>
          <w:tcPr>
            <w:tcW w:w="954" w:type="dxa"/>
            <w:tcBorders>
              <w:top w:val="nil"/>
              <w:left w:val="nil"/>
              <w:bottom w:val="nil"/>
              <w:right w:val="nil"/>
            </w:tcBorders>
            <w:shd w:val="clear" w:color="000000" w:fill="D9D9D9"/>
            <w:vAlign w:val="center"/>
          </w:tcPr>
          <w:p w14:paraId="6E288B36"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2,32</w:t>
            </w:r>
          </w:p>
        </w:tc>
        <w:tc>
          <w:tcPr>
            <w:tcW w:w="954" w:type="dxa"/>
            <w:tcBorders>
              <w:top w:val="nil"/>
              <w:left w:val="nil"/>
              <w:bottom w:val="nil"/>
              <w:right w:val="nil"/>
            </w:tcBorders>
            <w:shd w:val="clear" w:color="auto" w:fill="auto"/>
            <w:vAlign w:val="center"/>
          </w:tcPr>
          <w:p w14:paraId="24719A6B"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2,65</w:t>
            </w:r>
          </w:p>
        </w:tc>
        <w:tc>
          <w:tcPr>
            <w:tcW w:w="978" w:type="dxa"/>
            <w:tcBorders>
              <w:top w:val="nil"/>
              <w:left w:val="nil"/>
              <w:bottom w:val="nil"/>
              <w:right w:val="single" w:sz="4" w:space="0" w:color="auto"/>
            </w:tcBorders>
            <w:shd w:val="clear" w:color="auto" w:fill="auto"/>
            <w:vAlign w:val="center"/>
          </w:tcPr>
          <w:p w14:paraId="353DC1D4"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(12,5)</w:t>
            </w:r>
          </w:p>
        </w:tc>
        <w:tc>
          <w:tcPr>
            <w:tcW w:w="954" w:type="dxa"/>
            <w:tcBorders>
              <w:top w:val="nil"/>
              <w:left w:val="nil"/>
              <w:bottom w:val="nil"/>
              <w:right w:val="nil"/>
            </w:tcBorders>
            <w:shd w:val="clear" w:color="000000" w:fill="D9D9D9"/>
            <w:vAlign w:val="center"/>
          </w:tcPr>
          <w:p w14:paraId="1D41BC62"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2,27</w:t>
            </w:r>
          </w:p>
        </w:tc>
        <w:tc>
          <w:tcPr>
            <w:tcW w:w="954" w:type="dxa"/>
            <w:tcBorders>
              <w:top w:val="nil"/>
              <w:left w:val="nil"/>
              <w:bottom w:val="nil"/>
              <w:right w:val="nil"/>
            </w:tcBorders>
            <w:shd w:val="clear" w:color="auto" w:fill="auto"/>
            <w:vAlign w:val="center"/>
          </w:tcPr>
          <w:p w14:paraId="7DE4B152"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2,37</w:t>
            </w:r>
          </w:p>
        </w:tc>
        <w:tc>
          <w:tcPr>
            <w:tcW w:w="856" w:type="dxa"/>
            <w:tcBorders>
              <w:top w:val="nil"/>
              <w:left w:val="nil"/>
              <w:bottom w:val="nil"/>
              <w:right w:val="single" w:sz="4" w:space="0" w:color="auto"/>
            </w:tcBorders>
            <w:shd w:val="clear" w:color="auto" w:fill="auto"/>
            <w:vAlign w:val="center"/>
          </w:tcPr>
          <w:p w14:paraId="4973A00F"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(4,2)</w:t>
            </w:r>
          </w:p>
        </w:tc>
      </w:tr>
      <w:tr w:rsidR="008A406D" w14:paraId="22F8E4D4" w14:textId="77777777">
        <w:trPr>
          <w:trHeight w:val="227"/>
        </w:trPr>
        <w:tc>
          <w:tcPr>
            <w:tcW w:w="2922" w:type="dxa"/>
            <w:tcBorders>
              <w:top w:val="nil"/>
              <w:left w:val="single" w:sz="4" w:space="0" w:color="auto"/>
              <w:bottom w:val="single" w:sz="4" w:space="0" w:color="auto"/>
              <w:right w:val="nil"/>
            </w:tcBorders>
            <w:shd w:val="clear" w:color="auto" w:fill="auto"/>
            <w:vAlign w:val="center"/>
          </w:tcPr>
          <w:p w14:paraId="14D9AD14"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val="en-GB"/>
              </w:rPr>
              <w:t xml:space="preserve">Costo </w:t>
            </w:r>
            <w:proofErr w:type="spellStart"/>
            <w:r>
              <w:rPr>
                <w:rFonts w:asciiTheme="majorHAnsi" w:hAnsiTheme="majorHAnsi" w:cstheme="majorHAnsi"/>
                <w:color w:val="000000"/>
                <w:lang w:val="en-GB"/>
              </w:rPr>
              <w:t>neto</w:t>
            </w:r>
            <w:proofErr w:type="spellEnd"/>
            <w:r>
              <w:rPr>
                <w:rFonts w:asciiTheme="majorHAnsi" w:hAnsiTheme="majorHAnsi" w:cstheme="majorHAnsi"/>
                <w:color w:val="000000"/>
                <w:lang w:val="en-GB"/>
              </w:rPr>
              <w:t xml:space="preserve"> de </w:t>
            </w:r>
            <w:proofErr w:type="spellStart"/>
            <w:r>
              <w:rPr>
                <w:rFonts w:asciiTheme="majorHAnsi" w:hAnsiTheme="majorHAnsi" w:cstheme="majorHAnsi"/>
                <w:color w:val="000000"/>
                <w:lang w:val="en-GB"/>
              </w:rPr>
              <w:t>caja</w:t>
            </w:r>
            <w:proofErr w:type="spellEnd"/>
            <w:r>
              <w:rPr>
                <w:rFonts w:asciiTheme="majorHAnsi" w:hAnsiTheme="majorHAnsi" w:cstheme="majorHAnsi"/>
                <w:color w:val="000000"/>
                <w:lang w:val="en-GB"/>
              </w:rPr>
              <w:t xml:space="preserve"> </w:t>
            </w:r>
          </w:p>
        </w:tc>
        <w:tc>
          <w:tcPr>
            <w:tcW w:w="1067" w:type="dxa"/>
            <w:tcBorders>
              <w:top w:val="nil"/>
              <w:left w:val="nil"/>
              <w:bottom w:val="single" w:sz="4" w:space="0" w:color="auto"/>
              <w:right w:val="single" w:sz="4" w:space="0" w:color="auto"/>
            </w:tcBorders>
            <w:shd w:val="clear" w:color="000000" w:fill="FFFFFF"/>
            <w:vAlign w:val="center"/>
          </w:tcPr>
          <w:p w14:paraId="7DD1873E" w14:textId="77777777" w:rsidR="008A406D" w:rsidRDefault="009A6545">
            <w:pPr>
              <w:ind w:right="191"/>
              <w:rPr>
                <w:rFonts w:asciiTheme="majorHAnsi" w:hAnsiTheme="majorHAnsi" w:cstheme="majorHAnsi"/>
                <w:color w:val="000000"/>
                <w:lang w:eastAsia="en-US"/>
              </w:rPr>
            </w:pPr>
            <w:r>
              <w:rPr>
                <w:rFonts w:asciiTheme="majorHAnsi" w:hAnsiTheme="majorHAnsi" w:cstheme="majorHAnsi"/>
                <w:color w:val="000000"/>
                <w:lang w:eastAsia="en-US"/>
              </w:rPr>
              <w:t>US$/lb</w:t>
            </w:r>
          </w:p>
        </w:tc>
        <w:tc>
          <w:tcPr>
            <w:tcW w:w="954" w:type="dxa"/>
            <w:tcBorders>
              <w:top w:val="nil"/>
              <w:left w:val="nil"/>
              <w:bottom w:val="single" w:sz="4" w:space="0" w:color="auto"/>
              <w:right w:val="nil"/>
            </w:tcBorders>
            <w:shd w:val="clear" w:color="000000" w:fill="D9D9D9"/>
            <w:vAlign w:val="center"/>
          </w:tcPr>
          <w:p w14:paraId="6A3E5174"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1,32</w:t>
            </w:r>
          </w:p>
        </w:tc>
        <w:tc>
          <w:tcPr>
            <w:tcW w:w="954" w:type="dxa"/>
            <w:tcBorders>
              <w:top w:val="nil"/>
              <w:left w:val="nil"/>
              <w:bottom w:val="single" w:sz="4" w:space="0" w:color="auto"/>
              <w:right w:val="nil"/>
            </w:tcBorders>
            <w:shd w:val="clear" w:color="auto" w:fill="auto"/>
            <w:vAlign w:val="center"/>
          </w:tcPr>
          <w:p w14:paraId="73C7B9C3"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1,94</w:t>
            </w:r>
          </w:p>
        </w:tc>
        <w:tc>
          <w:tcPr>
            <w:tcW w:w="978" w:type="dxa"/>
            <w:tcBorders>
              <w:top w:val="nil"/>
              <w:left w:val="nil"/>
              <w:bottom w:val="single" w:sz="4" w:space="0" w:color="auto"/>
              <w:right w:val="single" w:sz="4" w:space="0" w:color="auto"/>
            </w:tcBorders>
            <w:shd w:val="clear" w:color="auto" w:fill="auto"/>
            <w:vAlign w:val="center"/>
          </w:tcPr>
          <w:p w14:paraId="502E59E3"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(32,0)</w:t>
            </w:r>
          </w:p>
        </w:tc>
        <w:tc>
          <w:tcPr>
            <w:tcW w:w="954" w:type="dxa"/>
            <w:tcBorders>
              <w:top w:val="nil"/>
              <w:left w:val="nil"/>
              <w:bottom w:val="single" w:sz="4" w:space="0" w:color="auto"/>
              <w:right w:val="nil"/>
            </w:tcBorders>
            <w:shd w:val="clear" w:color="000000" w:fill="D9D9D9"/>
            <w:vAlign w:val="center"/>
          </w:tcPr>
          <w:p w14:paraId="1D3B309C"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1,12</w:t>
            </w:r>
          </w:p>
        </w:tc>
        <w:tc>
          <w:tcPr>
            <w:tcW w:w="954" w:type="dxa"/>
            <w:tcBorders>
              <w:top w:val="nil"/>
              <w:left w:val="nil"/>
              <w:bottom w:val="single" w:sz="4" w:space="0" w:color="auto"/>
              <w:right w:val="nil"/>
            </w:tcBorders>
            <w:shd w:val="clear" w:color="auto" w:fill="auto"/>
            <w:vAlign w:val="center"/>
          </w:tcPr>
          <w:p w14:paraId="02C48DAB" w14:textId="77777777" w:rsidR="008A406D" w:rsidRDefault="009A6545">
            <w:pPr>
              <w:ind w:right="191"/>
              <w:jc w:val="right"/>
              <w:rPr>
                <w:rFonts w:asciiTheme="majorHAnsi" w:hAnsiTheme="majorHAnsi" w:cstheme="majorHAnsi"/>
                <w:lang w:eastAsia="en-US"/>
              </w:rPr>
            </w:pPr>
            <w:r>
              <w:rPr>
                <w:rFonts w:asciiTheme="majorHAnsi" w:hAnsiTheme="majorHAnsi" w:cstheme="majorHAnsi"/>
              </w:rPr>
              <w:t>1,54</w:t>
            </w:r>
          </w:p>
        </w:tc>
        <w:tc>
          <w:tcPr>
            <w:tcW w:w="856" w:type="dxa"/>
            <w:tcBorders>
              <w:top w:val="nil"/>
              <w:left w:val="nil"/>
              <w:bottom w:val="single" w:sz="4" w:space="0" w:color="auto"/>
              <w:right w:val="single" w:sz="4" w:space="0" w:color="auto"/>
            </w:tcBorders>
            <w:shd w:val="clear" w:color="auto" w:fill="auto"/>
            <w:vAlign w:val="center"/>
          </w:tcPr>
          <w:p w14:paraId="497B870D" w14:textId="77777777" w:rsidR="008A406D" w:rsidRDefault="009A6545">
            <w:pPr>
              <w:ind w:right="191"/>
              <w:jc w:val="right"/>
              <w:rPr>
                <w:rFonts w:asciiTheme="majorHAnsi" w:hAnsiTheme="majorHAnsi" w:cstheme="majorHAnsi"/>
                <w:color w:val="FF0000"/>
                <w:highlight w:val="yellow"/>
                <w:lang w:eastAsia="en-US"/>
              </w:rPr>
            </w:pPr>
            <w:r>
              <w:rPr>
                <w:rFonts w:asciiTheme="majorHAnsi" w:hAnsiTheme="majorHAnsi" w:cstheme="majorHAnsi"/>
              </w:rPr>
              <w:t xml:space="preserve">(27,3) </w:t>
            </w:r>
          </w:p>
        </w:tc>
      </w:tr>
    </w:tbl>
    <w:p w14:paraId="416F6119" w14:textId="77777777" w:rsidR="008A406D" w:rsidRDefault="008A406D">
      <w:pPr>
        <w:spacing w:after="120"/>
        <w:ind w:right="191"/>
        <w:jc w:val="both"/>
        <w:rPr>
          <w:rFonts w:asciiTheme="majorHAnsi" w:hAnsiTheme="majorHAnsi" w:cstheme="majorHAnsi"/>
        </w:rPr>
      </w:pPr>
    </w:p>
    <w:p w14:paraId="68ECCBE1" w14:textId="77777777" w:rsidR="008A406D" w:rsidRDefault="009A6545">
      <w:pPr>
        <w:ind w:right="191"/>
        <w:jc w:val="center"/>
        <w:rPr>
          <w:rFonts w:asciiTheme="majorHAnsi" w:hAnsiTheme="majorHAnsi" w:cstheme="majorHAnsi"/>
          <w:b/>
        </w:rPr>
      </w:pPr>
      <w:r>
        <w:rPr>
          <w:rFonts w:asciiTheme="majorHAnsi" w:hAnsiTheme="majorHAnsi" w:cstheme="majorHAnsi"/>
          <w:b/>
        </w:rPr>
        <w:t>GERENCIA DE COMUNICACIONES</w:t>
      </w:r>
    </w:p>
    <w:sectPr w:rsidR="008A406D">
      <w:headerReference w:type="even" r:id="rId8"/>
      <w:headerReference w:type="default" r:id="rId9"/>
      <w:footerReference w:type="even" r:id="rId10"/>
      <w:footerReference w:type="default" r:id="rId11"/>
      <w:pgSz w:w="12240" w:h="15840"/>
      <w:pgMar w:top="705" w:right="1134" w:bottom="1134" w:left="1134" w:header="426"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1799" w14:textId="77777777" w:rsidR="009A6545" w:rsidRDefault="009A6545">
      <w:r>
        <w:separator/>
      </w:r>
    </w:p>
  </w:endnote>
  <w:endnote w:type="continuationSeparator" w:id="0">
    <w:p w14:paraId="71E824EF" w14:textId="77777777" w:rsidR="009A6545" w:rsidRDefault="009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default"/>
    <w:sig w:usb0="00000000" w:usb1="0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249B" w14:textId="77777777" w:rsidR="008A406D" w:rsidRDefault="000D6871">
    <w:pPr>
      <w:pStyle w:val="Piedepgina"/>
    </w:pPr>
    <w:sdt>
      <w:sdtPr>
        <w:id w:val="864954350"/>
        <w:temporary/>
        <w:showingPlcHdr/>
      </w:sdtPr>
      <w:sdtEndPr/>
      <w:sdtContent>
        <w:r w:rsidR="009A6545">
          <w:rPr>
            <w:lang w:val="es-ES"/>
          </w:rPr>
          <w:t>[Escriba texto]</w:t>
        </w:r>
      </w:sdtContent>
    </w:sdt>
    <w:r w:rsidR="009A6545">
      <w:ptab w:relativeTo="margin" w:alignment="center" w:leader="none"/>
    </w:r>
    <w:sdt>
      <w:sdtPr>
        <w:id w:val="869498041"/>
        <w:temporary/>
        <w:showingPlcHdr/>
      </w:sdtPr>
      <w:sdtEndPr/>
      <w:sdtContent>
        <w:r w:rsidR="009A6545">
          <w:rPr>
            <w:lang w:val="es-ES"/>
          </w:rPr>
          <w:t>[Escriba texto]</w:t>
        </w:r>
      </w:sdtContent>
    </w:sdt>
    <w:r w:rsidR="009A6545">
      <w:ptab w:relativeTo="margin" w:alignment="right" w:leader="none"/>
    </w:r>
    <w:sdt>
      <w:sdtPr>
        <w:id w:val="586508866"/>
        <w:temporary/>
        <w:showingPlcHdr/>
      </w:sdtPr>
      <w:sdtEndPr/>
      <w:sdtContent>
        <w:r w:rsidR="009A6545">
          <w:rPr>
            <w:lang w:val="es-ES"/>
          </w:rPr>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BA9C" w14:textId="77777777" w:rsidR="008A406D" w:rsidRDefault="008A406D">
    <w:pPr>
      <w:pStyle w:val="Piedepgina"/>
      <w:ind w:left="-1701" w:firstLine="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51D3" w14:textId="77777777" w:rsidR="009A6545" w:rsidRDefault="009A6545">
      <w:r>
        <w:separator/>
      </w:r>
    </w:p>
  </w:footnote>
  <w:footnote w:type="continuationSeparator" w:id="0">
    <w:p w14:paraId="6F102CEC" w14:textId="77777777" w:rsidR="009A6545" w:rsidRDefault="009A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8CE3" w14:textId="77777777" w:rsidR="008A406D" w:rsidRDefault="000D6871">
    <w:pPr>
      <w:pStyle w:val="Encabezado"/>
    </w:pPr>
    <w:sdt>
      <w:sdtPr>
        <w:id w:val="-639726123"/>
        <w:placeholder>
          <w:docPart w:val="DC8B9EF95BD6EE4188FBD660E12A611C"/>
        </w:placeholder>
        <w:temporary/>
        <w:showingPlcHdr/>
      </w:sdtPr>
      <w:sdtEndPr/>
      <w:sdtContent>
        <w:r w:rsidR="009A6545">
          <w:rPr>
            <w:lang w:val="es-ES"/>
          </w:rPr>
          <w:t>[Escriba texto]</w:t>
        </w:r>
      </w:sdtContent>
    </w:sdt>
    <w:r w:rsidR="009A6545">
      <w:ptab w:relativeTo="margin" w:alignment="center" w:leader="none"/>
    </w:r>
    <w:sdt>
      <w:sdtPr>
        <w:id w:val="2030371397"/>
        <w:placeholder>
          <w:docPart w:val="D97AD44C4EC8E6458132BE32CACE2231"/>
        </w:placeholder>
        <w:temporary/>
        <w:showingPlcHdr/>
      </w:sdtPr>
      <w:sdtEndPr/>
      <w:sdtContent>
        <w:r w:rsidR="009A6545">
          <w:rPr>
            <w:lang w:val="es-ES"/>
          </w:rPr>
          <w:t>[Escriba texto]</w:t>
        </w:r>
      </w:sdtContent>
    </w:sdt>
    <w:r w:rsidR="009A6545">
      <w:ptab w:relativeTo="margin" w:alignment="right" w:leader="none"/>
    </w:r>
    <w:sdt>
      <w:sdtPr>
        <w:id w:val="1415207078"/>
        <w:placeholder>
          <w:docPart w:val="E3693006B084AC499F211AC1186E7C2E"/>
        </w:placeholder>
        <w:temporary/>
        <w:showingPlcHdr/>
      </w:sdtPr>
      <w:sdtEndPr/>
      <w:sdtContent>
        <w:r w:rsidR="009A6545">
          <w:rPr>
            <w:lang w:val="es-ES"/>
          </w:rPr>
          <w:t>[Escriba texto]</w:t>
        </w:r>
      </w:sdtContent>
    </w:sdt>
  </w:p>
  <w:p w14:paraId="1DCACA31" w14:textId="77777777" w:rsidR="008A406D" w:rsidRDefault="008A40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1AF0" w14:textId="77777777" w:rsidR="008A406D" w:rsidRDefault="009A6545">
    <w:pPr>
      <w:pStyle w:val="Encabezado"/>
      <w:ind w:left="-1134" w:firstLine="850"/>
    </w:pPr>
    <w:r>
      <w:rPr>
        <w:noProof/>
        <w:lang w:eastAsia="es-CL"/>
      </w:rPr>
      <w:drawing>
        <wp:inline distT="0" distB="0" distL="0" distR="0" wp14:anchorId="6498F18C" wp14:editId="5A777421">
          <wp:extent cx="1764030" cy="717550"/>
          <wp:effectExtent l="0" t="0" r="0" b="0"/>
          <wp:docPr id="4" name="Logo_Hoja 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oja carta.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4275" cy="717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7394"/>
    <w:multiLevelType w:val="multilevel"/>
    <w:tmpl w:val="0E41739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105932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2"/>
    <w:rsid w:val="00010CC9"/>
    <w:rsid w:val="00012DB0"/>
    <w:rsid w:val="000268E8"/>
    <w:rsid w:val="00034A44"/>
    <w:rsid w:val="000564F6"/>
    <w:rsid w:val="00073C6D"/>
    <w:rsid w:val="00080251"/>
    <w:rsid w:val="00096708"/>
    <w:rsid w:val="000A088E"/>
    <w:rsid w:val="000A243F"/>
    <w:rsid w:val="000A5D86"/>
    <w:rsid w:val="000B3858"/>
    <w:rsid w:val="000C3C8F"/>
    <w:rsid w:val="000C7933"/>
    <w:rsid w:val="000D6871"/>
    <w:rsid w:val="000E34D1"/>
    <w:rsid w:val="000F2CB9"/>
    <w:rsid w:val="000F665E"/>
    <w:rsid w:val="00106104"/>
    <w:rsid w:val="00142391"/>
    <w:rsid w:val="00142888"/>
    <w:rsid w:val="00142A54"/>
    <w:rsid w:val="0014537B"/>
    <w:rsid w:val="00163990"/>
    <w:rsid w:val="00166E71"/>
    <w:rsid w:val="00167C84"/>
    <w:rsid w:val="001704AB"/>
    <w:rsid w:val="00170787"/>
    <w:rsid w:val="00183EDF"/>
    <w:rsid w:val="001855C9"/>
    <w:rsid w:val="001A4B25"/>
    <w:rsid w:val="001B0E60"/>
    <w:rsid w:val="001B5875"/>
    <w:rsid w:val="001C04FE"/>
    <w:rsid w:val="001C08D4"/>
    <w:rsid w:val="001C0ABA"/>
    <w:rsid w:val="001C26E4"/>
    <w:rsid w:val="001C6A83"/>
    <w:rsid w:val="001C79D3"/>
    <w:rsid w:val="001D1AED"/>
    <w:rsid w:val="001D4899"/>
    <w:rsid w:val="001E125C"/>
    <w:rsid w:val="001E4C63"/>
    <w:rsid w:val="001F05AC"/>
    <w:rsid w:val="001F2F40"/>
    <w:rsid w:val="001F360B"/>
    <w:rsid w:val="001F36ED"/>
    <w:rsid w:val="001F39C0"/>
    <w:rsid w:val="00204680"/>
    <w:rsid w:val="00205738"/>
    <w:rsid w:val="00217E54"/>
    <w:rsid w:val="00235403"/>
    <w:rsid w:val="00236604"/>
    <w:rsid w:val="0024022A"/>
    <w:rsid w:val="00242EE2"/>
    <w:rsid w:val="00264B2B"/>
    <w:rsid w:val="00284AF7"/>
    <w:rsid w:val="002855BB"/>
    <w:rsid w:val="00297A7C"/>
    <w:rsid w:val="002A0BF3"/>
    <w:rsid w:val="002A3CC5"/>
    <w:rsid w:val="002A5B93"/>
    <w:rsid w:val="002B212C"/>
    <w:rsid w:val="002B360E"/>
    <w:rsid w:val="002B5BD8"/>
    <w:rsid w:val="002C7177"/>
    <w:rsid w:val="002D1F69"/>
    <w:rsid w:val="002D3FF0"/>
    <w:rsid w:val="002D5B81"/>
    <w:rsid w:val="002D65B1"/>
    <w:rsid w:val="002E3CA8"/>
    <w:rsid w:val="002F09B1"/>
    <w:rsid w:val="002F252F"/>
    <w:rsid w:val="0030018F"/>
    <w:rsid w:val="00313CD8"/>
    <w:rsid w:val="00315A62"/>
    <w:rsid w:val="0032048A"/>
    <w:rsid w:val="003207AF"/>
    <w:rsid w:val="00320DF1"/>
    <w:rsid w:val="003228AD"/>
    <w:rsid w:val="00326B38"/>
    <w:rsid w:val="003308C7"/>
    <w:rsid w:val="00346117"/>
    <w:rsid w:val="00371275"/>
    <w:rsid w:val="00375787"/>
    <w:rsid w:val="00381DC7"/>
    <w:rsid w:val="00386F7D"/>
    <w:rsid w:val="00394FBE"/>
    <w:rsid w:val="003A55A3"/>
    <w:rsid w:val="003B2256"/>
    <w:rsid w:val="003B4DFF"/>
    <w:rsid w:val="003B4E5E"/>
    <w:rsid w:val="003C68B2"/>
    <w:rsid w:val="003D0BB8"/>
    <w:rsid w:val="003D77B3"/>
    <w:rsid w:val="003E175B"/>
    <w:rsid w:val="003E4C05"/>
    <w:rsid w:val="003E7257"/>
    <w:rsid w:val="003F5875"/>
    <w:rsid w:val="00404265"/>
    <w:rsid w:val="0040766F"/>
    <w:rsid w:val="00412C05"/>
    <w:rsid w:val="004174BB"/>
    <w:rsid w:val="00417551"/>
    <w:rsid w:val="00433F65"/>
    <w:rsid w:val="004464B0"/>
    <w:rsid w:val="004464D5"/>
    <w:rsid w:val="00461A15"/>
    <w:rsid w:val="00462C58"/>
    <w:rsid w:val="00465031"/>
    <w:rsid w:val="00474658"/>
    <w:rsid w:val="004A07AC"/>
    <w:rsid w:val="004B113C"/>
    <w:rsid w:val="004B43CE"/>
    <w:rsid w:val="004C1D53"/>
    <w:rsid w:val="004D736E"/>
    <w:rsid w:val="004D7884"/>
    <w:rsid w:val="004E4294"/>
    <w:rsid w:val="00500A2B"/>
    <w:rsid w:val="00502E4F"/>
    <w:rsid w:val="0050392B"/>
    <w:rsid w:val="00511119"/>
    <w:rsid w:val="005422D3"/>
    <w:rsid w:val="005425AC"/>
    <w:rsid w:val="005504B4"/>
    <w:rsid w:val="00593077"/>
    <w:rsid w:val="005C6F64"/>
    <w:rsid w:val="005D5430"/>
    <w:rsid w:val="005D634B"/>
    <w:rsid w:val="005E1D5B"/>
    <w:rsid w:val="005F05E5"/>
    <w:rsid w:val="005F54AE"/>
    <w:rsid w:val="0060671A"/>
    <w:rsid w:val="00610B0B"/>
    <w:rsid w:val="00617725"/>
    <w:rsid w:val="00620577"/>
    <w:rsid w:val="00621B7F"/>
    <w:rsid w:val="00631BB6"/>
    <w:rsid w:val="0064069F"/>
    <w:rsid w:val="00643126"/>
    <w:rsid w:val="00643256"/>
    <w:rsid w:val="00643E5C"/>
    <w:rsid w:val="00651E6C"/>
    <w:rsid w:val="00656B24"/>
    <w:rsid w:val="00666331"/>
    <w:rsid w:val="00666BFA"/>
    <w:rsid w:val="0067125B"/>
    <w:rsid w:val="00673348"/>
    <w:rsid w:val="00676C2C"/>
    <w:rsid w:val="006802FD"/>
    <w:rsid w:val="006813C6"/>
    <w:rsid w:val="00685080"/>
    <w:rsid w:val="006901F1"/>
    <w:rsid w:val="006909D7"/>
    <w:rsid w:val="006B2BEA"/>
    <w:rsid w:val="006D241E"/>
    <w:rsid w:val="006D46B7"/>
    <w:rsid w:val="006E14F8"/>
    <w:rsid w:val="006E4101"/>
    <w:rsid w:val="006E745D"/>
    <w:rsid w:val="006F0162"/>
    <w:rsid w:val="006F5EA2"/>
    <w:rsid w:val="00700138"/>
    <w:rsid w:val="00700626"/>
    <w:rsid w:val="00713C57"/>
    <w:rsid w:val="007157E0"/>
    <w:rsid w:val="00716443"/>
    <w:rsid w:val="0072681B"/>
    <w:rsid w:val="00731920"/>
    <w:rsid w:val="00733961"/>
    <w:rsid w:val="00735A5D"/>
    <w:rsid w:val="00736FFC"/>
    <w:rsid w:val="007451D0"/>
    <w:rsid w:val="00746584"/>
    <w:rsid w:val="00751FCD"/>
    <w:rsid w:val="00770E34"/>
    <w:rsid w:val="00773A24"/>
    <w:rsid w:val="00784AB3"/>
    <w:rsid w:val="00792DBA"/>
    <w:rsid w:val="007A019A"/>
    <w:rsid w:val="007A139B"/>
    <w:rsid w:val="007A44CF"/>
    <w:rsid w:val="007A67F7"/>
    <w:rsid w:val="007B7263"/>
    <w:rsid w:val="007C0EA6"/>
    <w:rsid w:val="007D32F7"/>
    <w:rsid w:val="007D4227"/>
    <w:rsid w:val="007D5218"/>
    <w:rsid w:val="007E1704"/>
    <w:rsid w:val="007E6502"/>
    <w:rsid w:val="007F2B41"/>
    <w:rsid w:val="00802A62"/>
    <w:rsid w:val="008031B9"/>
    <w:rsid w:val="008150D9"/>
    <w:rsid w:val="00820245"/>
    <w:rsid w:val="00842DEA"/>
    <w:rsid w:val="008515A7"/>
    <w:rsid w:val="008561EF"/>
    <w:rsid w:val="00857FFC"/>
    <w:rsid w:val="00861B68"/>
    <w:rsid w:val="00877F2F"/>
    <w:rsid w:val="00881F4B"/>
    <w:rsid w:val="008920EF"/>
    <w:rsid w:val="008A10A4"/>
    <w:rsid w:val="008A406D"/>
    <w:rsid w:val="008D000A"/>
    <w:rsid w:val="008D6FD1"/>
    <w:rsid w:val="008E2169"/>
    <w:rsid w:val="008E268E"/>
    <w:rsid w:val="008E4E08"/>
    <w:rsid w:val="008F3712"/>
    <w:rsid w:val="008F3873"/>
    <w:rsid w:val="0090600B"/>
    <w:rsid w:val="00925BB2"/>
    <w:rsid w:val="009314B4"/>
    <w:rsid w:val="00946F19"/>
    <w:rsid w:val="0095265A"/>
    <w:rsid w:val="00953BA6"/>
    <w:rsid w:val="00957183"/>
    <w:rsid w:val="00964552"/>
    <w:rsid w:val="009654AB"/>
    <w:rsid w:val="0096567B"/>
    <w:rsid w:val="00967D59"/>
    <w:rsid w:val="009717E5"/>
    <w:rsid w:val="00980793"/>
    <w:rsid w:val="00983BA1"/>
    <w:rsid w:val="009A4970"/>
    <w:rsid w:val="009A6545"/>
    <w:rsid w:val="009B5D85"/>
    <w:rsid w:val="009C0214"/>
    <w:rsid w:val="009C3FE5"/>
    <w:rsid w:val="009D1750"/>
    <w:rsid w:val="009E3678"/>
    <w:rsid w:val="009E6083"/>
    <w:rsid w:val="009F6BE7"/>
    <w:rsid w:val="00A14AC2"/>
    <w:rsid w:val="00A362A5"/>
    <w:rsid w:val="00A4503A"/>
    <w:rsid w:val="00A5181E"/>
    <w:rsid w:val="00A55C89"/>
    <w:rsid w:val="00A62FD0"/>
    <w:rsid w:val="00A64120"/>
    <w:rsid w:val="00A81321"/>
    <w:rsid w:val="00A83C74"/>
    <w:rsid w:val="00A83CAC"/>
    <w:rsid w:val="00A93C08"/>
    <w:rsid w:val="00AA0053"/>
    <w:rsid w:val="00AC26FA"/>
    <w:rsid w:val="00AD48B3"/>
    <w:rsid w:val="00AD6FBD"/>
    <w:rsid w:val="00AE58FC"/>
    <w:rsid w:val="00AF0A34"/>
    <w:rsid w:val="00AF5762"/>
    <w:rsid w:val="00B02C72"/>
    <w:rsid w:val="00B12588"/>
    <w:rsid w:val="00B12BCA"/>
    <w:rsid w:val="00B30E6E"/>
    <w:rsid w:val="00B3275D"/>
    <w:rsid w:val="00B32A63"/>
    <w:rsid w:val="00B358D9"/>
    <w:rsid w:val="00B436F2"/>
    <w:rsid w:val="00B56939"/>
    <w:rsid w:val="00B60F9F"/>
    <w:rsid w:val="00B61DC4"/>
    <w:rsid w:val="00B63B21"/>
    <w:rsid w:val="00B70B28"/>
    <w:rsid w:val="00B72F7D"/>
    <w:rsid w:val="00B75A57"/>
    <w:rsid w:val="00B86F8B"/>
    <w:rsid w:val="00B90DC9"/>
    <w:rsid w:val="00B965D9"/>
    <w:rsid w:val="00BA40FF"/>
    <w:rsid w:val="00BA4984"/>
    <w:rsid w:val="00BA749D"/>
    <w:rsid w:val="00BC4923"/>
    <w:rsid w:val="00BE20D6"/>
    <w:rsid w:val="00C049F6"/>
    <w:rsid w:val="00C06387"/>
    <w:rsid w:val="00C07188"/>
    <w:rsid w:val="00C104C4"/>
    <w:rsid w:val="00C22304"/>
    <w:rsid w:val="00C36810"/>
    <w:rsid w:val="00C51190"/>
    <w:rsid w:val="00C51DD2"/>
    <w:rsid w:val="00C54DEE"/>
    <w:rsid w:val="00C568A7"/>
    <w:rsid w:val="00C64F01"/>
    <w:rsid w:val="00C65487"/>
    <w:rsid w:val="00C6633D"/>
    <w:rsid w:val="00C72516"/>
    <w:rsid w:val="00C837B7"/>
    <w:rsid w:val="00C84CF1"/>
    <w:rsid w:val="00C91F90"/>
    <w:rsid w:val="00CB0085"/>
    <w:rsid w:val="00CB248C"/>
    <w:rsid w:val="00CC1BB2"/>
    <w:rsid w:val="00CD7D19"/>
    <w:rsid w:val="00CE2159"/>
    <w:rsid w:val="00CE4571"/>
    <w:rsid w:val="00CE78D9"/>
    <w:rsid w:val="00CF5D37"/>
    <w:rsid w:val="00D0057D"/>
    <w:rsid w:val="00D23E95"/>
    <w:rsid w:val="00D36447"/>
    <w:rsid w:val="00D45835"/>
    <w:rsid w:val="00D5484F"/>
    <w:rsid w:val="00D6168D"/>
    <w:rsid w:val="00D677DA"/>
    <w:rsid w:val="00D70201"/>
    <w:rsid w:val="00D72018"/>
    <w:rsid w:val="00D764CF"/>
    <w:rsid w:val="00D86436"/>
    <w:rsid w:val="00D8677D"/>
    <w:rsid w:val="00D97145"/>
    <w:rsid w:val="00DB41A9"/>
    <w:rsid w:val="00DB7042"/>
    <w:rsid w:val="00DB7DD1"/>
    <w:rsid w:val="00DC5728"/>
    <w:rsid w:val="00DC648E"/>
    <w:rsid w:val="00DC7743"/>
    <w:rsid w:val="00DD592B"/>
    <w:rsid w:val="00DE197B"/>
    <w:rsid w:val="00DE3C8B"/>
    <w:rsid w:val="00DF3139"/>
    <w:rsid w:val="00E03DB8"/>
    <w:rsid w:val="00E07B04"/>
    <w:rsid w:val="00E209B2"/>
    <w:rsid w:val="00E304CF"/>
    <w:rsid w:val="00E41810"/>
    <w:rsid w:val="00E4747B"/>
    <w:rsid w:val="00E51202"/>
    <w:rsid w:val="00E527B6"/>
    <w:rsid w:val="00E65AF0"/>
    <w:rsid w:val="00E73800"/>
    <w:rsid w:val="00E7593F"/>
    <w:rsid w:val="00E832F4"/>
    <w:rsid w:val="00E87AB6"/>
    <w:rsid w:val="00E92CA7"/>
    <w:rsid w:val="00EA3F9D"/>
    <w:rsid w:val="00EA719C"/>
    <w:rsid w:val="00EB288F"/>
    <w:rsid w:val="00EC4102"/>
    <w:rsid w:val="00F07E0B"/>
    <w:rsid w:val="00F12CA4"/>
    <w:rsid w:val="00F16434"/>
    <w:rsid w:val="00F22679"/>
    <w:rsid w:val="00F22C21"/>
    <w:rsid w:val="00F243C6"/>
    <w:rsid w:val="00F245DB"/>
    <w:rsid w:val="00F246C0"/>
    <w:rsid w:val="00F24E42"/>
    <w:rsid w:val="00F3391D"/>
    <w:rsid w:val="00F34CC6"/>
    <w:rsid w:val="00F44589"/>
    <w:rsid w:val="00F614BF"/>
    <w:rsid w:val="00F663A5"/>
    <w:rsid w:val="00F80B86"/>
    <w:rsid w:val="00F900BB"/>
    <w:rsid w:val="00F9059A"/>
    <w:rsid w:val="00F9161A"/>
    <w:rsid w:val="00F928E4"/>
    <w:rsid w:val="00FA0230"/>
    <w:rsid w:val="00FC2794"/>
    <w:rsid w:val="00FC7E13"/>
    <w:rsid w:val="00FD136A"/>
    <w:rsid w:val="00FD3C42"/>
    <w:rsid w:val="00FE1799"/>
    <w:rsid w:val="00FE271C"/>
    <w:rsid w:val="00FE48A5"/>
    <w:rsid w:val="00FE51B6"/>
    <w:rsid w:val="07C74A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82A85"/>
  <w14:defaultImageDpi w14:val="330"/>
  <w15:docId w15:val="{13B99D48-F3E3-40E8-9104-6490D6A5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unhideWhenUsed/>
    <w:qFormat/>
    <w:pPr>
      <w:keepNext/>
      <w:jc w:val="right"/>
      <w:outlineLvl w:val="5"/>
    </w:pPr>
    <w:rPr>
      <w:rFonts w:ascii="Calibri" w:eastAsia="Times New Roman" w:hAnsi="Calibri" w:cs="Calibri"/>
      <w:b/>
      <w:bCs/>
      <w:color w:val="FFFFFF"/>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Lucida Grande" w:hAnsi="Lucida Grande"/>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pPr>
      <w:tabs>
        <w:tab w:val="center" w:pos="4252"/>
        <w:tab w:val="right" w:pos="8504"/>
      </w:tabs>
    </w:pPr>
  </w:style>
  <w:style w:type="paragraph" w:styleId="Textoindependiente3">
    <w:name w:val="Body Text 3"/>
    <w:basedOn w:val="Normal"/>
    <w:link w:val="Textoindependiente3Car"/>
    <w:uiPriority w:val="99"/>
    <w:unhideWhenUsed/>
    <w:pPr>
      <w:spacing w:after="120"/>
      <w:jc w:val="both"/>
    </w:pPr>
    <w:rPr>
      <w:rFonts w:ascii="Calibri" w:eastAsia="Times New Roman" w:hAnsi="Calibri" w:cs="Times New Roman"/>
      <w:i/>
      <w:sz w:val="22"/>
      <w:szCs w:val="22"/>
      <w:lang w:val="en-GB" w:eastAsia="en-GB"/>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rPr>
      <w:rFonts w:ascii="Lucida Grande" w:hAnsi="Lucida Grande"/>
      <w:sz w:val="18"/>
      <w:szCs w:val="18"/>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customStyle="1" w:styleId="Default">
    <w:name w:val="Default"/>
    <w:qFormat/>
    <w:pPr>
      <w:autoSpaceDE w:val="0"/>
      <w:autoSpaceDN w:val="0"/>
      <w:adjustRightInd w:val="0"/>
    </w:pPr>
    <w:rPr>
      <w:rFonts w:ascii="Calibri" w:hAnsi="Calibri" w:cs="Calibri"/>
      <w:color w:val="000000"/>
      <w:sz w:val="24"/>
      <w:szCs w:val="24"/>
      <w:lang w:eastAsia="es-ES"/>
    </w:rPr>
  </w:style>
  <w:style w:type="table" w:styleId="Listaclara">
    <w:name w:val="Light List"/>
    <w:basedOn w:val="Tablanormal"/>
    <w:uiPriority w:val="61"/>
    <w:rPr>
      <w:sz w:val="22"/>
      <w:szCs w:val="22"/>
      <w:lang w:val="en-GB" w:eastAsia="en-GB"/>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visin1">
    <w:name w:val="Revisión1"/>
    <w:hidden/>
    <w:uiPriority w:val="99"/>
    <w:semiHidden/>
    <w:rPr>
      <w:sz w:val="24"/>
      <w:szCs w:val="24"/>
      <w:lang w:eastAsia="es-ES"/>
    </w:rPr>
  </w:style>
  <w:style w:type="character" w:customStyle="1" w:styleId="Textoindependiente3Car">
    <w:name w:val="Texto independiente 3 Car"/>
    <w:basedOn w:val="Fuentedeprrafopredeter"/>
    <w:link w:val="Textoindependiente3"/>
    <w:uiPriority w:val="99"/>
    <w:rPr>
      <w:rFonts w:ascii="Calibri" w:eastAsia="Times New Roman" w:hAnsi="Calibri" w:cs="Times New Roman"/>
      <w:i/>
      <w:sz w:val="22"/>
      <w:szCs w:val="22"/>
      <w:lang w:val="en-GB" w:eastAsia="en-GB"/>
    </w:rPr>
  </w:style>
  <w:style w:type="character" w:customStyle="1" w:styleId="Ttulo6Car">
    <w:name w:val="Título 6 Car"/>
    <w:basedOn w:val="Fuentedeprrafopredeter"/>
    <w:link w:val="Ttulo6"/>
    <w:uiPriority w:val="9"/>
    <w:rPr>
      <w:rFonts w:ascii="Calibri" w:eastAsia="Times New Roman" w:hAnsi="Calibri" w:cs="Calibri"/>
      <w:b/>
      <w:bCs/>
      <w:color w:val="FFFFFF"/>
      <w:sz w:val="22"/>
      <w:szCs w:val="22"/>
      <w:lang w:val="en-GB" w:eastAsia="en-US"/>
    </w:rPr>
  </w:style>
  <w:style w:type="character" w:customStyle="1" w:styleId="ts-alignment-element">
    <w:name w:val="ts-alignment-element"/>
    <w:basedOn w:val="Fuentedeprrafopredeter"/>
  </w:style>
  <w:style w:type="character" w:customStyle="1" w:styleId="ts-alignment-element-highlighted">
    <w:name w:val="ts-alignment-element-highlighted"/>
    <w:basedOn w:val="Fuentedeprrafopredete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paragraph" w:styleId="Revisin">
    <w:name w:val="Revision"/>
    <w:hidden/>
    <w:uiPriority w:val="99"/>
    <w:unhideWhenUsed/>
    <w:rsid w:val="009A654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B9EF95BD6EE4188FBD660E12A611C"/>
        <w:category>
          <w:name w:val="General"/>
          <w:gallery w:val="placeholder"/>
        </w:category>
        <w:types>
          <w:type w:val="bbPlcHdr"/>
        </w:types>
        <w:behaviors>
          <w:behavior w:val="content"/>
        </w:behaviors>
        <w:guid w:val="{D3D43548-9908-6C47-9B21-8479D2E7F773}"/>
      </w:docPartPr>
      <w:docPartBody>
        <w:p w:rsidR="009D5C1A" w:rsidRDefault="009D5C1A">
          <w:pPr>
            <w:pStyle w:val="DC8B9EF95BD6EE4188FBD660E12A611C"/>
          </w:pPr>
          <w:r>
            <w:rPr>
              <w:lang w:val="es-ES"/>
            </w:rPr>
            <w:t>[Escriba texto]</w:t>
          </w:r>
        </w:p>
      </w:docPartBody>
    </w:docPart>
    <w:docPart>
      <w:docPartPr>
        <w:name w:val="D97AD44C4EC8E6458132BE32CACE2231"/>
        <w:category>
          <w:name w:val="General"/>
          <w:gallery w:val="placeholder"/>
        </w:category>
        <w:types>
          <w:type w:val="bbPlcHdr"/>
        </w:types>
        <w:behaviors>
          <w:behavior w:val="content"/>
        </w:behaviors>
        <w:guid w:val="{8DE9C352-3063-FA4F-83E8-00E5B2AC8EC3}"/>
      </w:docPartPr>
      <w:docPartBody>
        <w:p w:rsidR="009D5C1A" w:rsidRDefault="009D5C1A">
          <w:pPr>
            <w:pStyle w:val="D97AD44C4EC8E6458132BE32CACE2231"/>
          </w:pPr>
          <w:r>
            <w:rPr>
              <w:lang w:val="es-ES"/>
            </w:rPr>
            <w:t>[Escriba texto]</w:t>
          </w:r>
        </w:p>
      </w:docPartBody>
    </w:docPart>
    <w:docPart>
      <w:docPartPr>
        <w:name w:val="E3693006B084AC499F211AC1186E7C2E"/>
        <w:category>
          <w:name w:val="General"/>
          <w:gallery w:val="placeholder"/>
        </w:category>
        <w:types>
          <w:type w:val="bbPlcHdr"/>
        </w:types>
        <w:behaviors>
          <w:behavior w:val="content"/>
        </w:behaviors>
        <w:guid w:val="{6A117259-27E9-ED48-90DD-8483F6804802}"/>
      </w:docPartPr>
      <w:docPartBody>
        <w:p w:rsidR="009D5C1A" w:rsidRDefault="009D5C1A">
          <w:pPr>
            <w:pStyle w:val="E3693006B084AC499F211AC1186E7C2E"/>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default"/>
    <w:sig w:usb0="00000000" w:usb1="00000000" w:usb2="00000000" w:usb3="00000000" w:csb0="000001B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54"/>
    <w:rsid w:val="0003080E"/>
    <w:rsid w:val="00080C62"/>
    <w:rsid w:val="0009328B"/>
    <w:rsid w:val="000B3C76"/>
    <w:rsid w:val="00135D42"/>
    <w:rsid w:val="00152B92"/>
    <w:rsid w:val="00173B28"/>
    <w:rsid w:val="001A1975"/>
    <w:rsid w:val="001C79D3"/>
    <w:rsid w:val="00227B09"/>
    <w:rsid w:val="00284AF7"/>
    <w:rsid w:val="002C3654"/>
    <w:rsid w:val="003012F1"/>
    <w:rsid w:val="00326B38"/>
    <w:rsid w:val="00352F7A"/>
    <w:rsid w:val="003D1684"/>
    <w:rsid w:val="003D1694"/>
    <w:rsid w:val="00464333"/>
    <w:rsid w:val="00484716"/>
    <w:rsid w:val="00493A27"/>
    <w:rsid w:val="004F6F4E"/>
    <w:rsid w:val="00563036"/>
    <w:rsid w:val="00596528"/>
    <w:rsid w:val="006049FF"/>
    <w:rsid w:val="0061682A"/>
    <w:rsid w:val="0066353F"/>
    <w:rsid w:val="006C30EB"/>
    <w:rsid w:val="006E0339"/>
    <w:rsid w:val="006F1FA2"/>
    <w:rsid w:val="00707AC9"/>
    <w:rsid w:val="00716443"/>
    <w:rsid w:val="00771208"/>
    <w:rsid w:val="007A74BD"/>
    <w:rsid w:val="00817138"/>
    <w:rsid w:val="008246DC"/>
    <w:rsid w:val="008561EF"/>
    <w:rsid w:val="00877F2F"/>
    <w:rsid w:val="00976A74"/>
    <w:rsid w:val="009A598A"/>
    <w:rsid w:val="009C3FE5"/>
    <w:rsid w:val="009D5C1A"/>
    <w:rsid w:val="00A26B9C"/>
    <w:rsid w:val="00A83CAC"/>
    <w:rsid w:val="00B11C18"/>
    <w:rsid w:val="00BE3EDA"/>
    <w:rsid w:val="00C44BA2"/>
    <w:rsid w:val="00C97E02"/>
    <w:rsid w:val="00D019C4"/>
    <w:rsid w:val="00D2429C"/>
    <w:rsid w:val="00D30B3E"/>
    <w:rsid w:val="00DE3671"/>
    <w:rsid w:val="00E10149"/>
    <w:rsid w:val="00E211F5"/>
    <w:rsid w:val="00E42E8E"/>
    <w:rsid w:val="00E96D40"/>
    <w:rsid w:val="00E97410"/>
    <w:rsid w:val="00EF57D1"/>
    <w:rsid w:val="00F11731"/>
    <w:rsid w:val="00F402ED"/>
    <w:rsid w:val="00F42C4D"/>
    <w:rsid w:val="00F65D66"/>
    <w:rsid w:val="00FA5A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CL" w:eastAsia="es-CL"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C8B9EF95BD6EE4188FBD660E12A611C">
    <w:name w:val="DC8B9EF95BD6EE4188FBD660E12A611C"/>
    <w:rPr>
      <w:sz w:val="24"/>
      <w:szCs w:val="24"/>
      <w:lang w:eastAsia="ja-JP"/>
    </w:rPr>
  </w:style>
  <w:style w:type="paragraph" w:customStyle="1" w:styleId="D97AD44C4EC8E6458132BE32CACE2231">
    <w:name w:val="D97AD44C4EC8E6458132BE32CACE2231"/>
    <w:rPr>
      <w:sz w:val="24"/>
      <w:szCs w:val="24"/>
      <w:lang w:eastAsia="ja-JP"/>
    </w:rPr>
  </w:style>
  <w:style w:type="paragraph" w:customStyle="1" w:styleId="E3693006B084AC499F211AC1186E7C2E">
    <w:name w:val="E3693006B084AC499F211AC1186E7C2E"/>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E92F-7819-45C3-810D-980D5B63234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3007</Characters>
  <Application>Microsoft Office Word</Application>
  <DocSecurity>0</DocSecurity>
  <Lines>25</Lines>
  <Paragraphs>7</Paragraphs>
  <ScaleCrop>false</ScaleCrop>
  <Company>Procorp</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dc:creator>
  <cp:lastModifiedBy>Alejandra Parada Escribano</cp:lastModifiedBy>
  <cp:revision>2</cp:revision>
  <cp:lastPrinted>2023-04-19T12:54:00Z</cp:lastPrinted>
  <dcterms:created xsi:type="dcterms:W3CDTF">2025-07-15T21:30:00Z</dcterms:created>
  <dcterms:modified xsi:type="dcterms:W3CDTF">2025-07-15T21:30:00Z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3082-12.2.0.21546</vt:lpwstr>
  </property>
  <property fmtid="{D5CDD505-2E9C-101B-9397-08002B2CF9AE}" pid="3" name="ICV">
    <vt:lpwstr>8C4CC78013114B2CA16EC64D3AC3BE08_12</vt:lpwstr>
  </property>
</Properties>
</file>